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 Reported descriptively as an exploratory hypothesis-generating analysis; no inference is drawn from these subgroup estimates (see Manuscript Limitations).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cumulative-incidence curves, time origin at the index date; years 0, 2, 4, 6, 8, 10 measured from index. All patients in the primary cohort survived the 3-month landmark event-free by construction, so the number at risk at year 0 equals the primary cohort size and remains unchanged through the first 0.25 years. Lesion-recurrence rows are the primary cohort (n = 912: 203 / 709); hr-HPV clearance rows are the clearance subset (n = 233: 92 / 141).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176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125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615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457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270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an exploratory post-index hr-HPV detection model that conflates persistence with new acquisition (reported descriptively only).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report both co-primary outcomes (lesion recurrence, hr-HPV clearance) and the Kaplan–Meier sustained-clearance summary.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18/1378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21/1371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2/1388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3/1378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16/1386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17/1373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0/1396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1/1380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46.6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Immortal-time-bias-corrected dose-threshold sensitivity for Cohort B. Landmarks reflect the standard HPV-vaccine 0–2–6 month schedule plus grace: ≥1 dose at 30 days, ≥2 doses at 90 days, ≥3 doses at 240 days. Patients in both arms must be alive and event-free at the landmark to enter the analysis; for vaccinated cases, the k-th dose must additionally have been received by the landmark. Time is left-truncated at the landmark. The ≥2-dose, 90-day landmark specification coincides with the primary specification used in the main analysis.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(post-index, ≥90 d)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(0.48–3.75)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18/84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3.29 (1.41–7.70)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8/118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0.63 (0.15–2.59)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0.523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 (from index)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1.93 (0.27–14.07)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0.516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1.67 (1.11–2.50)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