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that share a pre-specified primary exposure definition of</w:t>
      </w:r>
      <w:r>
        <w:t xml:space="preserve"> </w:t>
      </w:r>
      <w:r>
        <w:rPr>
          <w:b/>
          <w:bCs/>
        </w:rPr>
        <w:t xml:space="preserve">at least two documented HPV-vaccine prescription dates with a symmetric 3-month landmark</w:t>
      </w:r>
      <w:r>
        <w:t xml:space="preserve"> </w:t>
      </w:r>
      <w:r>
        <w:t xml:space="preserve">applied across arms to mitigate immortal-time selection.</w:t>
      </w:r>
      <w:r>
        <w:t xml:space="preserve"> </w:t>
      </w:r>
      <w:r>
        <w:rPr>
          <w:b/>
          <w:bCs/>
        </w:rPr>
        <w:t xml:space="preserve">Cohort A</w:t>
      </w:r>
      <w:r>
        <w:t xml:space="preserve"> </w:t>
      </w:r>
      <w:r>
        <w:t xml:space="preserve">(chronic-disease safety) was constructed by 1:1 propensity-score matching with matched-pair integrity preserved through the exposure filter, yielding a primary analytic population of</w:t>
      </w:r>
      <w:r>
        <w:t xml:space="preserve"> </w:t>
      </w:r>
      <w:r>
        <w:rPr>
          <w:b/>
          <w:bCs/>
        </w:rPr>
        <w:t xml:space="preserve">2,776 women (1,396 vaccinated and 1,380 matched controls)</w:t>
      </w:r>
      <w:r>
        <w:t xml:space="preserve">.</w:t>
      </w:r>
      <w:r>
        <w:t xml:space="preserve"> </w:t>
      </w:r>
      <w:r>
        <w:rPr>
          <w:b/>
          <w:bCs/>
        </w:rPr>
        <w:t xml:space="preserve">Cohort B</w:t>
      </w:r>
      <w:r>
        <w:t xml:space="preserve"> </w:t>
      </w:r>
      <w:r>
        <w:t xml:space="preserve">(post-surgical efficacy) was constructed by variable-ratio 1:up-to-4 fine matching with matched-set integrity preserved through the same exposure filter, yielding a primary analytic population of</w:t>
      </w:r>
      <w:r>
        <w:t xml:space="preserve"> </w:t>
      </w:r>
      <w:r>
        <w:rPr>
          <w:b/>
          <w:bCs/>
        </w:rPr>
        <w:t xml:space="preserve">934 women (204 vaccinated and 730 fine-matched controls)</w:t>
      </w:r>
      <w:r>
        <w:t xml:space="preserve">. All post-matching standardised mean differences were below 0.10. In Cohort A, vaccination was not associated with chronic-disease incidence (Any-of-five hazard ratio 1.28, 95% confidence interval 0.66–2.48; 18 vaccinated and 21 unvaccinated events over 7,421 and 10,090 person-years; cause-specific Cox with cluster-robust standard errors on the matched-pair identifier). In Cohort B, the two co-primary outcomes were biopsy-confirmed lesion recurrence (≥CIN2) and hr-HPV clearance, defined as the first of two consecutive post-landmark hr-HPV-negative molecular pathology tests, among women with documented pre-vaccine high-risk HPV positivity. Post-surgical vaccination was not associated with reduced lesion recurrence (hazard ratio 1.01, 95% CI 0.49–2.06; p = 0.99) but was associated with significantly accelerated clearance of pre-existing hr-HPV (hazard ratio 1.85, 95% CI 1.09–3.17; p = 0.024),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at a 5-year horizon the reversion-free probability was nearly identical (56.9% vs 53.3%), indicating that the apparent median difference is dominated by late-follow-up plateaus and small reversion counts rather than by an early reversion-risk difference between arms. Pre-specified sensitivity analyses — alternative single-dose exposure ascertainment, time-stratified Cox decomposition, dose-threshold landmark variants, strict 1:4 matching, and disease-free-interval buffers — were concordant with the primary inferences. Over a reverse-Kaplan–Meier median follow-up of 5.93 years (interquartile range 2.78–10.75) in Cohort A and 4.97 years (3.44–8.91) in Cohort B, HPV vaccination did not increase chronic-disease risk and accelerated hr-HPV clearance without altering lesion-recurrence rates.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9"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propensity-score-matched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matched pair preserved as the unit of integrity: vaccinated cases failing either the dose threshold or the landmark eligibility filter had their attached non-vaccinated partner dropped together. The final primary analytic Cohort A comprised</w:t>
      </w:r>
      <w:r>
        <w:t xml:space="preserve"> </w:t>
      </w:r>
      <w:r>
        <w:rPr>
          <w:b/>
          <w:bCs/>
        </w:rPr>
        <w:t xml:space="preserve">1,396 vaccinated and 1,380 matched controls (n = 2,776)</w:t>
      </w:r>
      <w:r>
        <w:t xml:space="preserve">.</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fine-matched set preserved as the unit of integrity: vaccinated cases failing either filter had their attached non-vaccinated participants dropped together. The final primary analytic Cohort B comprised</w:t>
      </w:r>
      <w:r>
        <w:t xml:space="preserve"> </w:t>
      </w:r>
      <w:r>
        <w:rPr>
          <w:b/>
          <w:bCs/>
        </w:rPr>
        <w:t xml:space="preserve">204 vaccinated and 730 fine-matched controls (n = 934)</w:t>
      </w:r>
      <w:r>
        <w:t xml:space="preserve">.</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post-landmark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3-month landmark (index + 90 days) to the FIRST of two consecutive post-landmark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both cohorts under the primary specification, person-years were accumulated from the 3-month landmark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bookmarkEnd w:id="26"/>
    <w:bookmarkStart w:id="27" w:name="primary-exposure-definition"/>
    <w:p>
      <w:pPr>
        <w:pStyle w:val="Heading3"/>
      </w:pPr>
      <w:r>
        <w:t xml:space="preserve">Primary exposure definition</w:t>
      </w:r>
    </w:p>
    <w:p>
      <w:pPr>
        <w:pStyle w:val="FirstParagraph"/>
      </w:pPr>
      <w:r>
        <w:t xml:space="preserve">Both Cohort A and Cohort B share a single pre-specified primary exposure definition: at least two documented HPV-vaccine prescription dates plus a symmetric 3-month landmark applied across arms. The at-risk clock was shifted to index + 90 days for both vaccinated and unvaccinated participants, and patients with fewer than 90 days of follow-up or with an outcome event in the first 90 days were excluded. Vaccinated cases failing either the dose threshold or the landmark eligibility had their attached matched partner (Cohort A) or fine-matched set (Cohort B) dropped to preserve matched-set integrity. This definition addresses two concerns simultaneously: a single recorded HPV-vaccine prescription does not guarantee an immune response sufficient to influence post-surgical recurrence or HPV clearance — a minimum of two doses is the conventional threshold for evaluating biological vaccine effects — and anchoring follow-up at index without a landmark would allow time accrued before the immune response could plausibly take effect to count as vaccinated person-time, introducing immortal-time selection.</w:t>
      </w:r>
      <w:r>
        <w:t xml:space="preserve">7</w:t>
      </w:r>
    </w:p>
    <w:bookmarkEnd w:id="27"/>
    <w:bookmarkStart w:id="28" w:name="sensitivity-analyses"/>
    <w:p>
      <w:pPr>
        <w:pStyle w:val="Heading3"/>
      </w:pPr>
      <w:r>
        <w:t xml:space="preserve">Sensitivity analyses</w:t>
      </w:r>
    </w:p>
    <w:p>
      <w:pPr>
        <w:pStyle w:val="FirstParagraph"/>
      </w:pPr>
      <w:r>
        <w:t xml:space="preserve">Five pre-specified sensitivity analyses defended the Cohort B inferences and are summarised in the Results.</w:t>
      </w:r>
      <w:r>
        <w:t xml:space="preserve"> </w:t>
      </w:r>
      <w:r>
        <w:rPr>
          <w:b/>
          <w:bCs/>
        </w:rPr>
        <w:t xml:space="preserve">(i) Outcome-definition robustness for clearance.</w:t>
      </w:r>
      <w:r>
        <w:t xml:space="preserve"> </w:t>
      </w:r>
      <w:r>
        <w:t xml:space="preserve">The two-consecutive-negative event definition was contrasted against an alternative single-negative-test definition; both estimates and the corresponding event counts are reported.</w:t>
      </w:r>
      <w:r>
        <w:t xml:space="preserve"> </w:t>
      </w:r>
      <w:r>
        <w:rPr>
          <w:b/>
          <w:bCs/>
        </w:rPr>
        <w:t xml:space="preserve">(ii) Time-stratified clearance.</w:t>
      </w:r>
      <w:r>
        <w:t xml:space="preserve"> </w:t>
      </w:r>
      <w:r>
        <w:t xml:space="preserve">A pre-specified piecewise Cox model decomposed the average hazard ratio into period-specific estimates for 0–6, 6–12, 12–24, and ≥24 months post-landmark, with at-risk left-truncation at each window’s lower bound.</w:t>
      </w:r>
      <w:r>
        <w:t xml:space="preserve"> </w:t>
      </w:r>
      <w:r>
        <w:rPr>
          <w:b/>
          <w:bCs/>
        </w:rPr>
        <w:t xml:space="preserve">(iii) Dose threshold.</w:t>
      </w:r>
      <w:r>
        <w:t xml:space="preserve"> </w:t>
      </w:r>
      <w:r>
        <w:t xml:space="preserve">The primary ≥2-dose definition was contrasted with a more permissive ≥1-dose (single-dose) definition and a more restrictive ≥3-dose (complete schedule) definition, in both cases without the landmark filter to isolate the effect of dose ascertainment; in each case vaccinated cases failing the threshold and their attached non-vaccinated participants were dropped to preserve the matching structure. A complementary landmark variant anchored at the standard HPV-vaccine 0–2–6 month schedule plus a 30 / 90 / 240-day grace period (for ≥1, ≥2, ≥3 dose thresholds respectively) addressed residual immortal-time selection in dose-threshold contrasts.</w:t>
      </w:r>
      <w:r>
        <w:t xml:space="preserve"> </w:t>
      </w:r>
      <w:r>
        <w:rPr>
          <w:b/>
          <w:bCs/>
        </w:rPr>
        <w:t xml:space="preserve">(iv) Matching structure.</w:t>
      </w:r>
      <w:r>
        <w:t xml:space="preserve"> </w:t>
      </w:r>
      <w:r>
        <w:t xml:space="preserve">A strict fixed 1:4 fine-matching alternative was compared with the primary variable-ratio (1:up-to-4) procedure to test the robustness of the matching design; variable-ratio was pre-specified as primary because the limited number of vaccinated surgical cases and the small absolute event count make full retention of matchable cases preferable, while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post-landmark recurrences represent persistent disease from an incomplete excision rather than true recurrence after clearance, the lesion-recurrence outcome was re-fit after applying a minimum disease-free interval of 3, 6, or 12 months from the landmark.</w:t>
      </w:r>
    </w:p>
    <w:p>
      <w:pPr>
        <w:pStyle w:val="BodyText"/>
      </w:pPr>
      <w:r>
        <w:t xml:space="preserve">An exploratory post-index hr-HPV detection endpoint, which conflates persistence with new acquisition and which has been used in some earlier post-treatment HPV-vaccine studies, is reported descriptively in Supplementary Tables S5 and S6 but is not interpreted as a co-primary outcome.</w:t>
      </w:r>
    </w:p>
    <w:p>
      <w:pPr>
        <w:pStyle w:val="BodyText"/>
      </w:pPr>
      <w:r>
        <w:t xml:space="preserve">Follow-up time was reported throughout this manuscript using the reverse Kaplan–Meier method of Schemper and Smith,</w:t>
      </w:r>
      <w:r>
        <w:t xml:space="preserve">8</w:t>
      </w:r>
      <w:r>
        <w:t xml:space="preserve"> </w:t>
      </w:r>
      <w:r>
        <w:t xml:space="preserve">which estimates the median potential follow-up time by inverting the event indicator and applying the Kaplan–Meier estimator to the censoring distribution. This method is preferred to the naïve median of observed follow-up time because the naïve estimator is biased downward when outcome events truncate observation. The reverse-Kaplan–Meier median is reported with its interquartile range as the principal summary of follow-up duration, with mean and observed range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8"/>
    <w:bookmarkEnd w:id="29"/>
    <w:bookmarkStart w:id="33" w:name="results"/>
    <w:p>
      <w:pPr>
        <w:pStyle w:val="Heading2"/>
      </w:pPr>
      <w:r>
        <w:t xml:space="preserve">Results</w:t>
      </w:r>
    </w:p>
    <w:bookmarkStart w:id="30"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and 1,479 (4.5%) had received at least two distinct doses. Application of the two matching strategies followed by the pre-specified primary exposure filter yielded the final analytic cohorts:</w:t>
      </w:r>
      <w:r>
        <w:t xml:space="preserve"> </w:t>
      </w:r>
      <w:r>
        <w:rPr>
          <w:b/>
          <w:bCs/>
        </w:rPr>
        <w:t xml:space="preserve">Cohort A</w:t>
      </w:r>
      <w:r>
        <w:t xml:space="preserve"> </w:t>
      </w:r>
      <w:r>
        <w:t xml:space="preserve">comprised 2,776 women (1,396 vaccinated and 1,380 propensity-score-matched controls) and</w:t>
      </w:r>
      <w:r>
        <w:t xml:space="preserve"> </w:t>
      </w:r>
      <w:r>
        <w:rPr>
          <w:b/>
          <w:bCs/>
        </w:rPr>
        <w:t xml:space="preserve">Cohort B</w:t>
      </w:r>
      <w:r>
        <w:t xml:space="preserve"> </w:t>
      </w:r>
      <w:r>
        <w:t xml:space="preserve">comprised 934 women (204 vaccinated and 730 fine-matched controls).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The reverse-Kaplan–Meier median follow-up from the index date was 4.94 years (interquartile range 3.30–8.90) in vaccinated women and 5.02 years (3.48–8.93) in matched controls; the corresponding values from the landmark were 4.69 years (3.05–8.65) and 4.78 years (3.23–8.68). Maximum observed follow-up was 15.09 years in vaccinated women and 15.73 years in controls. The pre-vaccine hr-HPV-positive subset that defines the analytic population for the clearance co-primary outcome comprised</w:t>
      </w:r>
      <w:r>
        <w:t xml:space="preserve"> </w:t>
      </w:r>
      <w:r>
        <w:rPr>
          <w:b/>
          <w:bCs/>
        </w:rPr>
        <w:t xml:space="preserve">235 women (92 vaccinated and 143 matched controls)</w:t>
      </w:r>
      <w:r>
        <w:t xml:space="preserve"> </w:t>
      </w:r>
      <w:r>
        <w:t xml:space="preserve">after the same matched-set integrity rule was applied, with balance preserved on all measured covariates (</w:t>
      </w:r>
      <w:r>
        <w:rPr>
          <w:b/>
          <w:bCs/>
        </w:rPr>
        <w:t xml:space="preserve">Table 1</w:t>
      </w:r>
      <w:r>
        <w:t xml:space="preserve">).</w:t>
      </w:r>
    </w:p>
    <w:bookmarkEnd w:id="30"/>
    <w:bookmarkStart w:id="31" w:name="X38e5ebf89f1679077ae14291795c408178fb476"/>
    <w:p>
      <w:pPr>
        <w:pStyle w:val="Heading3"/>
      </w:pPr>
      <w:r>
        <w:t xml:space="preserve">Cohort A — Long-term incidence of chronic comorbidities</w:t>
      </w:r>
    </w:p>
    <w:p>
      <w:pPr>
        <w:pStyle w:val="FirstParagraph"/>
      </w:pPr>
      <w:r>
        <w:t xml:space="preserve">Over a reverse-Kaplan–Meier median follow-up of 5.93 years (interquartile range 2.78–10.75), Cohort A accumulated approximately 7,421 vaccinated and 10,090 unvaccinated person-years measured from the landmark for the Any-of-five analysis (person-years varied slightly across individual outcomes owing to prevalent-case exclusions). Thirty-nine women experienced any of the five chronic conditions after the landmark (18 vaccinated, incidence rate 2.43 per 1,000 person-years; 21 unvaccinated, 2.08 per 1,000 person-years). For the inclusive Any-of-five composite, the cluster-robust cause-specific hazard ratio for vaccination was</w:t>
      </w:r>
      <w:r>
        <w:t xml:space="preserve"> </w:t>
      </w:r>
      <w:r>
        <w:rPr>
          <w:b/>
          <w:bCs/>
        </w:rPr>
        <w:t xml:space="preserve">1.28 (95% confidence interval 0.66 to 2.48, p = 0.47)</w:t>
      </w:r>
      <w:r>
        <w:t xml:space="preserve">. For the Major Cardiovascular Events composite only two events occurred (one vaccinated, one unvaccinated), insufficient for modelling. Among the individual conditions, the cause-specific hazard ratios were</w:t>
      </w:r>
      <w:r>
        <w:t xml:space="preserve"> </w:t>
      </w:r>
      <w:r>
        <w:rPr>
          <w:b/>
          <w:bCs/>
        </w:rPr>
        <w:t xml:space="preserve">1.47 for diabetes</w:t>
      </w:r>
      <w:r>
        <w:t xml:space="preserve"> </w:t>
      </w:r>
      <w:r>
        <w:t xml:space="preserve">(16 vs 17 events; incidence rates 2.14 vs 1.68 per 1,000 person-years; 95% CI 0.71 to 3.08, p = 0.30) and</w:t>
      </w:r>
      <w:r>
        <w:t xml:space="preserve"> </w:t>
      </w:r>
      <w:r>
        <w:rPr>
          <w:b/>
          <w:bCs/>
        </w:rPr>
        <w:t xml:space="preserve">0.86 for hypertension</w:t>
      </w:r>
      <w:r>
        <w:t xml:space="preserve"> </w:t>
      </w:r>
      <w:r>
        <w:t xml:space="preserve">(2 vs 3 events; 95% CI 0.14 to 5.22, p = 0.87); estimates for stroke, pulmonary embolism, and Angina/myocardial infarction could not be obtained because no events occurred in one or both groups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Figure 2 displays the Aalen–Johansen cumulative incidence curves and the forest plot of cause-specific and Fine–Gray hazard ratios. No hazard ratio for any individual or composite endpoint reached statistical significance.</w:t>
      </w:r>
    </w:p>
    <w:bookmarkEnd w:id="31"/>
    <w:bookmarkStart w:id="32" w:name="cohort-b-post-surgical-vaccine-efficacy"/>
    <w:p>
      <w:pPr>
        <w:pStyle w:val="Heading3"/>
      </w:pPr>
      <w:r>
        <w:t xml:space="preserve">Cohort B — Post-surgical vaccine efficacy</w:t>
      </w:r>
    </w:p>
    <w:p>
      <w:pPr>
        <w:pStyle w:val="FirstParagraph"/>
      </w:pPr>
      <w:r>
        <w:t xml:space="preserve">In Cohort B (n = 934; 204 vaccinated and 730 fine-matched controls), one additional matched set was removed for the lesion-recurrence outcome because the vaccinated case had a recurrence event in the first 90 days post-index, with a small number of unvaccinated controls similarly removed for early events, yielding a lesion-recurrence analytic sample of</w:t>
      </w:r>
      <w:r>
        <w:t xml:space="preserve"> </w:t>
      </w:r>
      <w:r>
        <w:rPr>
          <w:b/>
          <w:bCs/>
        </w:rPr>
        <w:t xml:space="preserve">912 women (203 vaccinated and 709 controls)</w:t>
      </w:r>
      <w:r>
        <w:t xml:space="preserve">. Within this sample, 43 biopsy-confirmed lesion recurrences accrued (10 vaccinated, incidence rate 8.83 per 1,000 person-years over 1,132 vaccinated person-years; 33 unvaccinated, 8.36 per 1,000 person-years over 3,947 unvaccinated person-years). In age-adjusted Cox models with cluster-robust standard errors using the fine-matching identifier, vaccination was not associated with lesion recurrence (hazard ratio 1.01, 95% CI 0.49–2.06; p = 0.99). The Schoenfeld residual rank test did not indicate violation of the proportional-hazards assumption on the vaccinated covariate (p &gt; 0.20).</w:t>
      </w:r>
    </w:p>
    <w:p>
      <w:pPr>
        <w:pStyle w:val="BodyText"/>
      </w:pPr>
      <w:r>
        <w:t xml:space="preserve">Among the 235 women (92 vaccinated and 143 matched controls) eligible for the clearance co-primary, 31 vaccinated and 28 control women achieved the event (the first of two consecutive post-landmark hr-HPV-negative molecular pathology records). The age-adjusted, cluster-robust hazard ratio for vaccination was</w:t>
      </w:r>
      <w:r>
        <w:t xml:space="preserve"> </w:t>
      </w:r>
      <w:r>
        <w:rPr>
          <w:b/>
          <w:bCs/>
        </w:rPr>
        <w:t xml:space="preserve">1.85 (95% CI 1.09–3.17; p = 0.024)</w:t>
      </w:r>
      <w:r>
        <w:t xml:space="preserve">, where a hazard ratio greater than 1 corresponds to faster clearance in the vaccinated arm. HPV vaccination after surgical excision was thus associated with approximately twofold faster clearance of pre-existing high-risk HPV in women with documented hr-HPV positivity before vaccination. Among women who achieved the clearance event, the Kaplan–Meier-estimated median sustained-clearance (reversion-free) time was 10.79 years (Q25 2.31, Q75 not reached) in vaccinated women (n = 31; 13 reversion events, 18 censored) and 5.67 years (Q25 1.91, Q75 not reached) in unvaccinated controls (n = 28; 13 reversion events, 15 censored), with a non-significant log-rank test (p = 0.317). Because this analysis is conditional on clearance achievement and therefore selects for patients with longer follow-up, and because the small reversion-event count produces long plateaus near S(t) = 0.5 that destabilise the median, we additionally report the</w:t>
      </w:r>
      <w:r>
        <w:t xml:space="preserve"> </w:t>
      </w:r>
      <w:r>
        <w:rPr>
          <w:b/>
          <w:bCs/>
        </w:rPr>
        <w:t xml:space="preserve">5-year reversion-free probability</w:t>
      </w:r>
      <w:r>
        <w:t xml:space="preserve"> </w:t>
      </w:r>
      <w:r>
        <w:t xml:space="preserve">as a more stable summary at a clinically interpretable horizon: 56.9% in vaccinated and 53.3% in unvaccinated clearance achievers — a difference of less than 4 percentage points (</w:t>
      </w:r>
      <w:r>
        <w:rPr>
          <w:b/>
          <w:bCs/>
        </w:rPr>
        <w:t xml:space="preserve">Table 3</w:t>
      </w:r>
      <w:r>
        <w:t xml:space="preserve">). The contrast between the apparently large median difference (10.79 vs 5.67 years) and the negligible 5-year-probability difference (0.569 vs 0.533) underscores that the median figures are dominated by long late-follow-up plateaus rather than by an early reversion-risk difference between arms. A pre-specified piecewise time-stratified Cox model decomposed the 1.85 average hazard ratio into a significant 0–6-month post-landmark window (hazard ratio 2.20, 95% CI 1.03–4.68; p = 0.042) with non-significant point estimates in later windows, consistent with the timing of immune-memory recall in women who have already received at least two doses by the landmark. Cumulative incidence curves for both co-primary outcomes are shown in</w:t>
      </w:r>
      <w:r>
        <w:t xml:space="preserve"> </w:t>
      </w:r>
      <w:r>
        <w:rPr>
          <w:b/>
          <w:bCs/>
        </w:rPr>
        <w:t xml:space="preserve">Figure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that appeared in an exploratory post-index hr-HPV detection model (which conflates persistence with new acquisition and is reported descriptively in Supplementary Table S5) is interpreted as residual calendar-period and surgery-to-vaccination-timing confounding rather than as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were consistent with and refined the primary findings (</w:t>
      </w:r>
      <w:r>
        <w:rPr>
          <w:b/>
          <w:bCs/>
        </w:rPr>
        <w:t xml:space="preserve">Supplementary Figure S6</w:t>
      </w:r>
      <w:r>
        <w:t xml:space="preserve">).</w:t>
      </w:r>
      <w:r>
        <w:t xml:space="preserve"> </w:t>
      </w:r>
      <w:r>
        <w:rPr>
          <w:b/>
          <w:bCs/>
        </w:rPr>
        <w:t xml:space="preserve">(i)</w:t>
      </w:r>
      <w:r>
        <w:t xml:space="preserve"> </w:t>
      </w:r>
      <w:r>
        <w:t xml:space="preserve">For the clearance co-primary, the more permissive single-negative-test event definition produced a hazard ratio of 1.70 (95% CI 1.13–2.56, p = 0.011) on 91 vaccinated and 139 control women, compared with 1.85 (1.09–3.17, p = 0.024)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piecewise time-stratified Cox model decomposed the average hazard ratio of 1.85 into a significant 0–6-month post-landmark window (hazard ratio 2.20, 95% CI 1.03–4.68; p = 0.042; 19 vaccinated and 14 control events), with non-significant point estimates of 1.58 (0.71–3.52) in 6–12 months, 1.34 (0.30–6.07) in 12–24 months, and 1.08 (0.09–13.45) beyond 24 months — localising the clearance signal to the earliest post-landmark window, biologically consistent with the timing of immune-memory recall in women who have already received at least two doses at the start of the landmark.</w:t>
      </w:r>
      <w:r>
        <w:t xml:space="preserve"> </w:t>
      </w:r>
      <w:r>
        <w:rPr>
          <w:b/>
          <w:bCs/>
        </w:rPr>
        <w:t xml:space="preserve">(iii)</w:t>
      </w:r>
      <w:r>
        <w:t xml:space="preserve"> </w:t>
      </w:r>
      <w:r>
        <w:t xml:space="preserve">A more permissive ≥1-dose exposure definition (without the landmark) yielded a lesion-recurrence hazard ratio of 0.80 (0.44–1.43, p = 0.45) on 13 vaccinated and 57 control events and a clearance hazard ratio of 1.40 (0.92–2.11, p = 0.11) on 40 vaccinated and 48 control events. The directionally protective recurrence point estimate observed under the more permissive definition was attenuated to null under the primary specification, and the clearance estimate became larger and statistically significant — both patterns consistent with the removal of immortal-time selection by the dose threshold and landmark.</w:t>
      </w:r>
      <w:r>
        <w:t xml:space="preserve">7</w:t>
      </w:r>
      <w:r>
        <w:t xml:space="preserve"> </w:t>
      </w:r>
      <w:r>
        <w:t xml:space="preserve">A more restrictive ≥3-dose (complete-schedule) definition without the landmark yielded a lesion-recurrence hazard ratio of 0.58 (0.27–1.26) and a clearance hazard ratio of 1.59 (0.97–2.60). The complementary dose-threshold landmark variant (Supplementary Table S8B) confirmed that the protective lesion-recurrence direction collapses to the null when immortal-time selection is properly removed at each dose threshold.</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landmark yielded recurrence hazard ratios of 0.96, 0.92, and 0.97, respectively — all consistent with the primary 1.01 null estimate. Collectively, the sensitivity analyses preserve the null inference for lesion recurrence and the significantly accelerated inference for clearance.</w:t>
      </w:r>
    </w:p>
    <w:p>
      <w:r>
        <w:pict>
          <v:rect style="width:0;height:1.5pt" o:hralign="center" o:hrstd="t" o:hr="t"/>
        </w:pict>
      </w:r>
    </w:p>
    <w:bookmarkEnd w:id="32"/>
    <w:bookmarkEnd w:id="33"/>
    <w:bookmarkStart w:id="34"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Any-of-five composite (hazard ratio 1.28, 95% CI 0.66–2.48); (ii) the absence of a protective effect of post-surgical vaccination on biopsy-confirmed lesion recurrence (hazard ratio 1.01, 95% CI 0.49–2.06; p = 0.99); and (iii) a statistically significant association of post-surgical vaccination with faster hr-HPV clearance among women with documented pre-vaccine high-risk positivity (hazard ratio 1.85, 95% CI 1.09–3.17; p = 0.024),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programme,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An exploratory post-index hr-HPV detection model — an endpoint that conflates persistence of the pre-surgical infection with new acquisition — yielded a nominal quadrivalent-specific signal (HR 0.40, 95% CI 0.21–0.76; LRT p = 0.004;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 which contains all four antigens of the quadrivalent product plus five additional high-risk types and would be expected to confer at least equivalent protection — and is more parsimoniously explained by residual calendar-period and surgery-to-vaccination-timing confounding than by a quadrivalent-specific antigenic mechanism. The quadrivalent subgroup numbered only 36 vaccinated women. The signal is reported for transparency and treated as hypothesis-generating only.</w:t>
      </w:r>
    </w:p>
    <w:p>
      <w:pPr>
        <w:pStyle w:val="BodyText"/>
      </w:pPr>
      <w:r>
        <w:t xml:space="preserve">Several limitations qualify the inferences.</w:t>
      </w:r>
      <w:r>
        <w:t xml:space="preserve"> </w:t>
      </w:r>
      <w:r>
        <w:rPr>
          <w:b/>
          <w:bCs/>
        </w:rPr>
        <w:t xml:space="preserve">First</w:t>
      </w:r>
      <w:r>
        <w:t xml:space="preserve">, the lesion-recurrence analysis had limited statistical power: only 10 recurrences accrued in the vaccinated arm and 33 in controls, so the analysis was sensitive to detect protective effects only of magnitude approximately HR ≤ 0.5 at 80% power, and a modest true protective effect could plausibly remain undetected.</w:t>
      </w:r>
      <w:r>
        <w:t xml:space="preserve"> </w:t>
      </w:r>
      <w:r>
        <w:rPr>
          <w:b/>
          <w:bCs/>
        </w:rPr>
        <w:t xml:space="preserve">Second</w:t>
      </w:r>
      <w:r>
        <w:t xml:space="preserve">, the clearance subset, while internally consistent, is restricted to the 235 women with documented pre-vaccine hr-HPV positivity, limiting power to detect heterogeneity by age or vaccine type.</w:t>
      </w:r>
      <w:r>
        <w:t xml:space="preserve"> </w:t>
      </w:r>
      <w:r>
        <w:rPr>
          <w:b/>
          <w:bCs/>
        </w:rPr>
        <w:t xml:space="preserve">Third</w:t>
      </w:r>
      <w:r>
        <w:t xml:space="preserve">, the design relied on a single-centre retrospective data warehouse with the attendant constraints: the modest absolute number of cardiovascular events limits power for the Major Cardiovascular Events composite; HPV ascertainment depended on opportunistic testing rather than scheduled surveillance; granular data on socioeconomic status, sexual behaviour, and partner vaccination were not available; and residual unmeasured confounding may persist despite propensity-score and fine matching, most notably for the clearance co-primary outcome where the matched-set structure cannot fully balance the indication for voluntarily seeking post-surgical vaccination.</w:t>
      </w:r>
      <w:r>
        <w:t xml:space="preserve"> </w:t>
      </w:r>
      <w:r>
        <w:rPr>
          <w:b/>
          <w:bCs/>
        </w:rPr>
        <w:t xml:space="preserve">Fourth</w:t>
      </w:r>
      <w:r>
        <w:t xml:space="preserve">, the pseudo-index assignment used to anchor follow-up time for unvaccinated controls in Cohort A is not unique; a Supplementary sensitivity analysis comparing three reasonable strategies (Supplementary Table S7) observed concordant results.</w:t>
      </w:r>
      <w:r>
        <w:t xml:space="preserve"> </w:t>
      </w:r>
      <w:r>
        <w:rPr>
          <w:b/>
          <w:bCs/>
        </w:rPr>
        <w:t xml:space="preserve">Fifth</w:t>
      </w:r>
      <w:r>
        <w:t xml:space="preserve">, no formal multiple-comparison adjustment was applied to the two Cohort B co-primary outcomes because they represent distinct biological hypotheses (post-surgical lesion regrowth versus clearance of pre-existing high-risk infection); we report nominal p values throughout. Subgroup and interaction findings are explicitly framed as hypothesis-generating; an exploratory grid search across overlapping age and follow-up windows identified a single nominally significant cell (women aged 30–52 years at the 2-year follow-up window: hazard ratio 0.23, 95% CI 0.06–0.96) that did not survive adjustment for the approximately 6,900 combinations searched, attenuated with longer follow-up, and is not used to support inference. The combination of a long-followed prospective cohort with retrospective CDW augmentation is a methodological strength that allowed us to track clinically important outcomes that would have been undetectable in shorter follow-up windows, and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4"/>
    <w:bookmarkStart w:id="42"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5">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6">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7">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8">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9">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40">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41">
        <w:r>
          <w:rPr>
            <w:rStyle w:val="Hyperlink"/>
          </w:rPr>
          <w:t xml:space="preserve">10.1016/0197-2456(96)00075-X</w:t>
        </w:r>
      </w:hyperlink>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2026-05-28T12:17:42Z</dcterms:created>
  <dcterms:modified xsi:type="dcterms:W3CDTF">2026-05-28T12:17:42Z</dcterms:modified>
</cp:coreProperties>
</file>

<file path=docProps/custom.xml><?xml version="1.0" encoding="utf-8"?>
<Properties xmlns="http://schemas.openxmlformats.org/officeDocument/2006/custom-properties" xmlns:vt="http://schemas.openxmlformats.org/officeDocument/2006/docPropsVTypes"/>
</file>