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934 women (204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7,421 and 10,090 person-years; cause-specific Cox with cluster-robust standard errors on the matched-pair identifier). In Cohort B, the two co-primary outcomes were biopsy-confirmed lesion recurrence (≥CIN2) and hr-HPV clearance, defined as the first of two consecutive post-landmark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934)</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post-landmark,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 recurrences represent persistent disease from an incomplete excision rather than true recurrence after clearance, the lesion-recurrence outcome was re-fit after applying a minimum disease-free interval of 3, 6, or 12 months from the landmark.</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934 women (204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235 women (92 vaccinated and 143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7,421 vaccinated and 10,090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2.43 per 1,000 person-years; 21 unvaccinated, 2.08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2.14 vs 1.68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934;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of</w:t>
      </w:r>
      <w:r>
        <w:t xml:space="preserve"> </w:t>
      </w:r>
      <w:r>
        <w:rPr>
          <w:b/>
          <w:bCs/>
        </w:rPr>
        <w:t xml:space="preserve">912 women (203 vaccinated and 709 controls)</w:t>
      </w:r>
      <w:r>
        <w:t xml:space="preserve">.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235 women (92 vaccinated and 143 matched controls) eligible for the clearance co-primary, 31 vaccinated and 28 control women achieved the event (the first of two consecutive post-landmark hr-HPV-negative molecular pathology records).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1.85 average hazard ratio into a significant 0–6-month post-landmark window (hazard ratio 2.20, 95% CI 1.03–4.68; p = 0.042)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1.85 into a significant 0–6-month post-landmark window (hazard ratio 2.20, 95% CI 1.03–4.68; p = 0.042; 19 vaccinated and 14 control events), with non-significant point estimates of 1.58 (0.71–3.52) in 6–12 months, 1.34 (0.30–6.07) in 12–24 months, and 1.08 (0.09–13.45) beyond 24 months — localising the clearance signal to the earliest post-landmark window,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2026-05-28T12:17:43Z</dcterms:created>
  <dcterms:modified xsi:type="dcterms:W3CDTF">2026-05-28T12:17:43Z</dcterms:modified>
</cp:coreProperties>
</file>

<file path=docProps/custom.xml><?xml version="1.0" encoding="utf-8"?>
<Properties xmlns="http://schemas.openxmlformats.org/officeDocument/2006/custom-properties" xmlns:vt="http://schemas.openxmlformats.org/officeDocument/2006/docPropsVTypes"/>
</file>