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matching, and the primary exposure filter (≥2 doses + 3-month landmark with matched-set integrity preserved) yielding the primary analytic cohort n = 934 (204 vaccinated / 730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492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lesion-recurrence analytic sample (n = 912: 203 vaccinated / 709 controls); (b) cumulative clearance of pre-existing hr-HPV (two-consecutive-negative event) in the clearance subset (n = 235: 92 vaccinated / 143 controls). The x-axis is years from the 3-month landmark (index + 90 days).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07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0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v3 PRIMARY (n=2,776: 1,396 vac / 1,380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934 (204 vaccinated / 730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617 (45.4)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