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 Cohort A — Hazard ratios for chronic comorbidities</w:t>
      </w:r>
    </w:p>
    <w:p>
      <w:r>
        <w:rPr>
          <w:i/>
        </w:rPr>
        <w:t>Cluster-robust cause-specific and Fine–Gray subdistribution hazard ratios for the propensity-score-matched cohort (1:1, 4,102 women in 2,053 pairs). Cause-specific HRs are estimated by Cox proportional-hazards regression treating death as right-censoring. Fine–Gray sHRs are estimated as time-varying Cox regression on a Geskus (2011) IPCW-reweighted dataset, retaining death as a competing event. Both models use cluster-robust standard errors with the matched pair as the cluster variable.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Outcome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Vac</w:t>
              <w:br/>
              <w:t>events/n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Ctl</w:t>
              <w:br/>
              <w:t>events/n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Vac</w:t>
              <w:br/>
              <w:t>PY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Ctl</w:t>
              <w:br/>
              <w:t>PY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IR per</w:t>
              <w:br/>
              <w:t>1000 PY (vac/ctl)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Cause-specific HR</w:t>
              <w:br/>
              <w:t>(95% CI)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CS 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Fine–Gray sHR</w:t>
              <w:br/>
              <w:t>(95% CI)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6"/>
              </w:rPr>
              <w:t>FG p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Any-of-5 composite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29/2030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30/2038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12106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15130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2.40 / 1.98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1.265 (0.753–2.124)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0.374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1.271 (0.763–2.119)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0.357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MCE composite (MI/Stroke/PE)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12324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15315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0.24 / 0.13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1.964 (0.309–12.460)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1.953 (0.326–11.709)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0.464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Hypertension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8/2044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7/2048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12246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15266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0.65 / 0.46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1.491 (0.531–4.187)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1.499 (0.543–4.139)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0.435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Diabetes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21/2039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22/2043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12201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1.72 / 1.45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1.247 (0.681–2.283)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1.253 (0.688–2.279)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0.461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Angina/MI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12324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15317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0.24 / 0.07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Stroke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12341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15322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0.00 / 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1/2053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12341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15320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0.00 / 0.07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 xml:space="preserve">Footnote. </w:t>
      </w:r>
      <w:r>
        <w:rPr>
          <w:sz w:val="16"/>
        </w:rPr>
        <w:t>PY, person-years; IR, incidence rate; HR, hazard ratio; sHR, subdistribution hazard ratio; CS, cause-specific; FG, Fine–Gray; CI, confidence interval. Cause-specific HRs use cluster-robust standard errors with the matched pair as the cluster variable; Fine–Gray sHRs are estimated on the Geskus IPCW-reweighted long dataset using sandwich (robust) standard errors, as cluster-robust SEs are not currently implemented for the time-varying Cox formulation in lifelines — the very small number of competing events (28–29 deaths) makes the practical difference negligible. Outcomes with fewer than five events in either group (Angina/MI, Stroke, PE) cannot be modelled and are reported descriptively. Person-years and incidence rates are accumulated to first event, death, or last follow-up. Because the competing event of death is rare, cause-specific and Fine–Gray estimates agree closely.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