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at least one day of follow-up thereafter, and an index date on or before 31 December 2024 to guarantee at least one year of potential follow-up before the 31 December 2025 administrative censoring date (the same calendar cap was applied to Cohort B for symmetry).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2024 to ensure at least one year of potential follow-up before the 31 December 2025 administrative censoring date (this calendar cap was applied symmetrically to Cohort A as well), and, for Cohort B specifically, at least two follow-up pathology records (biopsy or molecular) to ensure non-trivial surveillance density.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1.11–2.50,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2026-05-30T03:44:16Z</dcterms:created>
  <dcterms:modified xsi:type="dcterms:W3CDTF">2026-05-30T03:44:16Z</dcterms:modified>
</cp:coreProperties>
</file>

<file path=docProps/custom.xml><?xml version="1.0" encoding="utf-8"?>
<Properties xmlns="http://schemas.openxmlformats.org/officeDocument/2006/custom-properties" xmlns:vt="http://schemas.openxmlformats.org/officeDocument/2006/docPropsVTypes"/>
</file>