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709 fine-matched controls)</w:t>
      </w:r>
      <w:r>
        <w:t xml:space="preserve">. All post-matching standardised mean differences were below 0.10. In Cohort A, vaccination was not associated with chronic-disease incidence (Any-of-five hazard ratio 1.27,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0.985)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203 vaccinated and 709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709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and 3-month landmark were applied, with balance preserved on all measured covariates (</w:t>
      </w:r>
      <w:r>
        <w:rPr>
          <w:b/>
          <w:bCs/>
        </w:rPr>
        <w:t xml:space="preserve">Table 1C</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1.27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2.05 vs 1.63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203 vaccinated and 709 fine-matched controls), the lesion-recurrence analytic sample is the primary cohort itself, after matched-set integrity removed any sets in which the vaccinated case (or its attached unvaccinated controls) experienced an event before the 3-month landmark.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0.985).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S3B; full grid in</w:t>
      </w:r>
      <w:r>
        <w:t xml:space="preserve"> </w:t>
      </w:r>
      <w:r>
        <w:rPr>
          <w:rStyle w:val="VerbatimChar"/>
        </w:rPr>
        <w:t xml:space="preserve">Data/sensitivity_age_cutoff.csv</w:t>
      </w:r>
      <w:r>
        <w:t xml:space="preserve">).</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6–12-month post-index window (hazard ratio 3.30, 95% CI 1.41–7.70; p = 0.006; 18 vaccinated and 9 control events), with non-significant point estimates of 1.34 (0.48–3.75; 8 vs 9 events) in 0–6 months, 0.63 (0.15–2.59; 3 vs 8 events) in 12–24 months, and 1.93 (0.27–14.07; 2 vs 2 events)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0.61 (0.30–1.24; p = 0.173; 8 vaccinated and 45 control events on 193 vaccinated and 697 control women) and a clearance hazard ratio of 1.59 (0.97–2.60; p = 0.065).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1.27, 95% CI 0.66–2.48); (ii) the absence of a protective effect of post-surgical vaccination on biopsy-confirmed lesion recurrence (hazard ratio 1.01, 95% CI 0.49–2.06; p = 0.985);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233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2026-05-29T07:32:20Z</dcterms:created>
  <dcterms:modified xsi:type="dcterms:W3CDTF">2026-05-29T07:32:20Z</dcterms:modified>
</cp:coreProperties>
</file>

<file path=docProps/custom.xml><?xml version="1.0" encoding="utf-8"?>
<Properties xmlns="http://schemas.openxmlformats.org/officeDocument/2006/custom-properties" xmlns:vt="http://schemas.openxmlformats.org/officeDocument/2006/docPropsVTypes"/>
</file>