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post-index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 filter). Among these, 43 biopsy-confirmed lesion recurrences accrued (10 of 204 vaccinated, incidence rate 8.83 per 1,000 person-years over 1,132 vaccinated person-years; 33 of 730 controls, incidence rate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index + 90 days to the first of two consecutive post-index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≥1-dose definition (Sens-B) had previously identified a significant 6–12 month clearance window (hazard ratio 3.19, 95% CI 1.44–7.09; p = 0.004), consistent in direction with the present ≥2-dose primary estimate.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although conditioning on ≥k doses without a landmark introduces an immortal-time selection that can mimic a dose-response.</w:t>
      </w:r>
      <w:r>
        <w:t xml:space="preserve">7</w:t>
      </w:r>
      <w:r>
        <w:t xml:space="preserve"> </w:t>
      </w:r>
      <w:r>
        <w:t xml:space="preserve">A pre-specified landmark variant (Supplementary Table S8B) anchored the analysis at the typical HPV-vaccine 0–2–6 month completion times plus grace (30 / 90 / 240 days for the ≥1, ≥2, ≥3 dose thresholds), required both arms to be alive and event-free at the landmark, and left-truncated the at-risk clock at that landmark. After this correction the lesion-recurrence</w:t>
      </w:r>
      <w:r>
        <w:t xml:space="preserve"> </w:t>
      </w:r>
      <w:r>
        <w:t xml:space="preserve">“dose-response”</w:t>
      </w:r>
      <w:r>
        <w:t xml:space="preserve"> </w:t>
      </w:r>
      <w:r>
        <w:t xml:space="preserve">disappeared (HR 1.14, 95% CI 0.48–2.73 at the ≥3-dose, 240-day landmark), indicating that the original 0.61 estimate was at least partly driven by immortal-time selection; conversely, the hr-HPV clearance estimate at the ≥2-dose, 90-day landmark reached nominal significance (HR 1.93, 95% CI 1.14–3.26, p = 0.014), strengthening the directional inference of a biologically credible clearance acceleration after at least two doses.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median follow-up of approximately six years,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after the dose and landmark filters)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9"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2026-05-26T12:41:25Z</dcterms:created>
  <dcterms:modified xsi:type="dcterms:W3CDTF">2026-05-26T12:41:25Z</dcterms:modified>
</cp:coreProperties>
</file>

<file path=docProps/custom.xml><?xml version="1.0" encoding="utf-8"?>
<Properties xmlns="http://schemas.openxmlformats.org/officeDocument/2006/custom-properties" xmlns:vt="http://schemas.openxmlformats.org/officeDocument/2006/docPropsVTypes"/>
</file>