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(n = 1,108; 241 vaccinated, 867 matched controls after surgery for histologically confirmed high-grade squamous intraepithelial lesion or worse [HSIL/CIN3+]) assessed post-surgical efficacy. All post-matching standardised mean differences were below 0.10. In Cohort A, vaccination was not associated with chronic-disease incidence (Any-of-five hazard ratio 1.26, 95% confidence interval 0.75–2.12). In Cohort B the two co-primary outcomes were biopsy-confirmed lesion recurrence and hr-HPV clearance among women with documented pre-vaccine high-risk HPV positivity. Post-surgical vaccination was not associated with reduced lesion recurrence (hazard ratio 0.80, 95% CI 0.44–1.43; p = 0.45) or with accelerated overall clearance of pre-existing hr-HPV defined as two consecutive negative tests (hazard ratio 1.40, 0.92–2.11; p = 0.11). The clearance point estimate was directionally favourable but did not reach statistical significance. A pre-specified piecewise time-stratified analysis of the clearance co-primary identified a significant 6–12 month window effect (hazard ratio 3.19, 95% CI 1.44–7.09; p = 0.004) consistent with the timing of HPV-vaccine antibody maturation. HPV vaccination did not increase chronic-disease risk over a median follow-up of approximately five years.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w:t>
      </w:r>
      <w:r>
        <w:t xml:space="preserve"> </w:t>
      </w:r>
      <w:r>
        <w:t xml:space="preserve">The primary</w:t>
      </w:r>
      <w:r>
        <w:t xml:space="preserve"> </w:t>
      </w:r>
      <w:r>
        <w:t xml:space="preserve">“≥1 dose”</w:t>
      </w:r>
      <w:r>
        <w:t xml:space="preserve"> </w:t>
      </w:r>
      <w:r>
        <w:t xml:space="preserve">exposure definition was tightened to require ≥2 and ≥3 (complete schedule) doses; vaccinated cases not meeting the threshold were dropped together with their attached non-vaccinated participants (the entire matched set was removed) to preserve the matching structure, and the Cox models were refit on the remaining sets in both Cohort A (all five chronic-disease endpoints and the two composites; 1:1 pair-matched) and Cohort B (both co-primary outcomes; 1:up-to-4 fine-matched).</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≥6 months from the index date (with 3- and 12-month variants).</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Over a median follow-up of 4.88 years (interquartile range 3.33 to 8.57) in the vaccinated group and 5.02 years (3.42 to 8.71) in controls, contributing 1,474 vaccinated and 5,308 unvaccinated person-years, 70 women experienced biopsy-confirmed lesion recurrence (13 of 241 vaccinated, incidence rate 8.82 per 1,000 person-years; 57 of 867 controls, 10.74 per 1,000 person-years). In age-adjusted Cox models with cluster-robust standard errors using the fine-matching identifier, vaccination was not significantly associated with lesion recurrence (hazard ratio 0.80, 95% confidence interval 0.44 to 1.43, p = 0.45). The Schoenfeld residual rank test did not indicate violation of the proportional-hazards assumption for the lesion recurrence model (p = 0.82 on the vaccinated covariate).</w:t>
      </w:r>
    </w:p>
    <w:p>
      <w:pPr>
        <w:pStyle w:val="BodyText"/>
      </w:pPr>
      <w:r>
        <w:t xml:space="preserve">Among the 292 women (110 vaccinated, 182 matched controls) who were hr-HPV-positive on at least one pre-vaccine molecular pathology record, the second co-primary outcome — time from the index date to the first of two consecutive post-index molecular pathology records explicitly negative for hr-HPV — occurred in 40 of 110 vaccinated and 48 of 182 controls. The age-adjusted, cluster-robust hazard ratio for vaccination was 1.40 (95% CI 0.92 to 2.11, p = 0.11), where a hazard ratio greater than 1 corresponds to faster clearance in the vaccinated arm. The point estimate was directionally favourable but did not reach statistical significance. The Schoenfeld residual rank test indicated a non-proportional pattern over follow-up for the clearance outcome on the vaccinated covariate (p = 0.028); a pre-specified piecewise time-stratified Cox model decomposed the average hazard ratio of 1.40 into period-specific estimates that revealed a delayed-response pattern: in the first 6 months from the index date the hazard ratio was 0.73 (95% CI 0.37 to 1.41, p = 0.35; 12 events vaccinated vs 26 controls); in the 6–12 month window it rose to 3.19 (1.44 to 7.09, p = 0.004; 19 events vaccinated vs 10 controls); the 12–24 month window estimate was 0.77 (0.22 to 2.72, on 4 vaccinated and 9 control events), and the ≥24-month window estimate was 4.20 (0.73 to 24.14) on 6 events total (Supplementary Table S10). The non-proportional pattern indicates that the average hazard ratio of 1.40 does not represent a constant relative effect across follow-up. A sensitivity analysis using a single-negative-test clearance definition produced an attenuated hazard ratio of 1.23 (95% CI 0.89 to 1.72, p = 0.21) on 55 vaccinated and 74 control events (Supplementary Table S11). Cumulative clearance curves and the corresponding hazard ratios are shown in</w:t>
      </w:r>
      <w:r>
        <w:t xml:space="preserve"> </w:t>
      </w:r>
      <w:r>
        <w:rPr>
          <w:b/>
          <w:bCs/>
        </w:rPr>
        <w:t xml:space="preserve">Figure 3</w:t>
      </w:r>
      <w:r>
        <w:t xml:space="preserve"> </w:t>
      </w:r>
      <w:r>
        <w:t xml:space="preserve">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 summary forest plot). For the clearance co-primary, the more permissive single-negative event definition produced an attenuated hazard ratio of 1.23 (95% CI 0.89–1.72, p = 0.21) compared with 1.40 (0.92–2.11, p = 0.11) under the two-consecutive-negative primary, supporting the directional inference but emphasising that ~20% of single-negative events were not biologically confirmed by a subsequent negative test. The pre-specified piecewise time-stratified clearance model — fit because the Schoenfeld test indicated PH violation (p = 0.028) — decomposed the average hazard ratio into 0.73 (0.37–1.41) at 0–6 months,</w:t>
      </w:r>
      <w:r>
        <w:t xml:space="preserve"> </w:t>
      </w:r>
      <w:r>
        <w:rPr>
          <w:b/>
          <w:bCs/>
        </w:rPr>
        <w:t xml:space="preserve">3.19 (1.44–7.09, p = 0.004) at 6–12 months</w:t>
      </w:r>
      <w:r>
        <w:t xml:space="preserve">, 0.77 (0.22–2.72) at 12–24 months, and 4.20 (0.73–24.14) at ≥24 months, identifying a delayed-response window consistent with the timing of HPV-vaccine antibody maturation. Restricting the vaccinated arm to ≥2 and ≥3 (complete schedule) recorded doses with full matched-set preservation produced lesion-recurrence hazard ratios of 0.74 (0.39–1.39) and 0.61 (0.30–1.24), respectively, and hr-HPV clearance hazard ratios of 1.40 (0.90–2.17) and 1.59 (0.97–2.60) — the latter showing a dose-response trend toward statistical significance (p = 0.065) consistent with biological plausibility, although conditioning on ≥k doses without a landmark introduces an immortal-time selection that can mimic a dose-response.</w:t>
      </w:r>
      <w:r>
        <w:t xml:space="preserve">7</w:t>
      </w:r>
      <w:r>
        <w:t xml:space="preserve"> </w:t>
      </w:r>
      <w:r>
        <w:t xml:space="preserve">A pre-specified landmark variant (Supplementary Table S8B) anchored the analysis at the typical HPV-vaccine 0–2–6 month completion times plus grace (30 / 90 / 240 days for the ≥1, ≥2, ≥3 dose thresholds), required both arms to be alive and event-free at the landmark, and left-truncated the at-risk clock at that landmark. After this correction the lesion-recurrence</w:t>
      </w:r>
      <w:r>
        <w:t xml:space="preserve"> </w:t>
      </w:r>
      <w:r>
        <w:t xml:space="preserve">“dose-response”</w:t>
      </w:r>
      <w:r>
        <w:t xml:space="preserve"> </w:t>
      </w:r>
      <w:r>
        <w:t xml:space="preserve">disappeared (HR 1.14, 95% CI 0.48–2.73 at the ≥3-dose, 240-day landmark), indicating that the original 0.61 estimate was at least partly driven by immortal-time selection; conversely, the hr-HPV clearance estimate at the ≥2-dose, 90-day landmark reached nominal significance (HR 1.93, 95% CI 1.14–3.26, p = 0.014), strengthening the directional inference of a biologically credible clearance acceleration after at least two doses. A strict 1:4 fine-matched alternative yielded a lesion-recurrence hazard ratio of 0.72 (0.36–1.41) and a hr-HPV clearance hazard ratio of 1.40 (0.88–2.21), close to the variable-ratio primary estimates. Applying a 6-month minimum disease-free interval to the lesion-recurrence outcome — to exclude residual disease from incomplete excision — yielded a hazard ratio of 0.86, comparable to the primary 0.80 estimate (3- and 12-month variants 0.88 and 0.82). All five sensitivity analyses preserved the null inference for lesion recurrence and the directionally favourable but non-significant overall inference for clearance, while the time-stratified analysis localised the clearance signal to the 6–12 month post-vaccination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two observations: (i) the absence of any safety signal for major chronic disease over a median follow-up of approximately six years, including the broad Any-of-5 composite; and (ii) the absence of a statistically significant effect of post-surgical vaccination on either co-primary outcome — lesion recurrence (HR 0.80, 95% CI 0.44–1.43) or hr-HPV clearance among women with documented pre-vaccine high-risk positivity (HR 1.40, 95% CI 0.92–2.11) — despite a directionally favourable clearance point estimate and a pre-specified time-stratified analysis identifying a significant 6–12 month clearance window (HR 3.19, 95% CI 1.44–7.09) consistent with the timing of vaccine antibody maturation. These findings should be situated against the FUTURE I/II trial program, which established prophylactic vaccine efficacy in HPV-naïve women, and against meta-analyses of post-surgical vaccination (Joura et al., Velentzis et al.) that have yielded inconsistent results.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available for 70% of Cohort B women, restricting the analytic subset to 292 patients and limiting power: with 88 events under the two-consecutive-negative primary definition the analysis was sensitive to detect hazard ratios of approximately 1.7 or larger at 80% power, so a moderate clearance acceleration could plausibly remain undetected.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post-surgical efficacy analysis was conducted with limited statistical power: only 13 lesion recurrences accrued in the vaccinated arm, so the analysis was sensitive to detect protective effects only of magnitude approximately HR ≤ 0.5 at 80% power.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39"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2026-05-17T11:17:45Z</dcterms:created>
  <dcterms:modified xsi:type="dcterms:W3CDTF">2026-05-17T11:17:45Z</dcterms:modified>
</cp:coreProperties>
</file>

<file path=docProps/custom.xml><?xml version="1.0" encoding="utf-8"?>
<Properties xmlns="http://schemas.openxmlformats.org/officeDocument/2006/custom-properties" xmlns:vt="http://schemas.openxmlformats.org/officeDocument/2006/docPropsVTypes"/>
</file>