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post-landmark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intermediate legacy Cohort B at this stage comprised 241 vaccinated and 867 unvaccinated women (n = 1,108). The pre-specified</w:t>
      </w:r>
      <w:r>
        <w:t xml:space="preserve"> </w:t>
      </w:r>
      <w:r>
        <w:rPr>
          <w:b/>
          <w:bCs/>
        </w:rPr>
        <w:t xml:space="preserve">v3 primary</w:t>
      </w:r>
      <w:r>
        <w:t xml:space="preserve"> </w:t>
      </w:r>
      <w:r>
        <w:t xml:space="preserve">exposure definition was then applied: vaccinated cases failing the ≥2-dose threshold (36 cases) had their full matched set removed, and any patient (either arm) failing the 3-month landmark follow-up filter (5 patients) was excluded — yielding the</w:t>
      </w:r>
      <w:r>
        <w:t xml:space="preserve"> </w:t>
      </w:r>
      <w:r>
        <w:rPr>
          <w:b/>
          <w:bCs/>
        </w:rPr>
        <w:t xml:space="preserve">v3 primary Cohort B of n = 934 (204 vaccinated, 730 fine-matched controls)</w:t>
      </w:r>
      <w:r>
        <w:t xml:space="preserve">, which is the analytic population for all Cohort B primary inferences.</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Cohort A, person-years were accumulated from the index date to the first event, death, or last follow-up. For Cohort B under the v3 primary,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under the legacy primary, a pre-specified piecewise Cox model decomposed the v3 average hazard ratio into period-specific estimates for 0–6, 6–12, 12–24, and ≥24 months post-landmark, with at-risk left-truncation at each window’s lower bound and event ascertainment within the window.</w:t>
      </w:r>
      <w:r>
        <w:t xml:space="preserve"> </w:t>
      </w:r>
      <w:r>
        <w:rPr>
          <w:b/>
          <w:bCs/>
        </w:rPr>
        <w:t xml:space="preserve">(iii) Dose threshold and immortal-time landmark.</w:t>
      </w:r>
      <w:r>
        <w:t xml:space="preserve"> </w:t>
      </w:r>
      <w:r>
        <w:t xml:space="preserve">The v3 primary requires ≥2 distinct HPV-vaccine prescription dates with matched-set integrity preserved. As a sensitivity, the more permissive ≥1-dose, no-landmark definition (the legacy primary) and the more restrictive ≥3-dose, no-landmark definition were also fit; in both cases vaccinated cases failing the threshold and their attached non-vaccinated participants were dropped. To address residual immortal-time selection in dose-threshold contrasts,</w:t>
      </w:r>
      <w:r>
        <w:t xml:space="preserve">7</w:t>
      </w:r>
      <w:r>
        <w:t xml:space="preserve"> </w:t>
      </w:r>
      <w:r>
        <w:t xml:space="preserve">a landmark variant anchored at the standard HPV-vaccine 0–2–6 month schedule plus a 30 / 90 / 240-day grace period (for ≥1, ≥2, ≥3 dose thresholds respectively) was pre-specified; the ≥2-dose, 90-day landmark coincides with the v3 primary specification.</w:t>
      </w:r>
      <w:r>
        <w:t xml:space="preserve"> </w:t>
      </w:r>
      <w:r>
        <w:rPr>
          <w:b/>
          <w:bCs/>
        </w:rPr>
        <w:t xml:space="preserve">(iv) Strict matching.</w:t>
      </w:r>
      <w:r>
        <w:t xml:space="preserve"> </w:t>
      </w:r>
      <w:r>
        <w:t xml:space="preserve">Sens-D tests the robustness of the</w:t>
      </w:r>
      <w:r>
        <w:t xml:space="preserve"> </w:t>
      </w:r>
      <w:r>
        <w:rPr>
          <w:b/>
          <w:bCs/>
        </w:rPr>
        <w:t xml:space="preserve">matching structure</w:t>
      </w:r>
      <w:r>
        <w:t xml:space="preserve"> </w:t>
      </w:r>
      <w:r>
        <w:t xml:space="preserve">(variable-ratio vs strict 1:4 fine matching), independently of the v3 exposure-definition change. To isolate this question the analysis was run on the legacy ≥1-dose, no-landmark cohort (n = 241 vaccinated / 867 controls under variable-ratio; n = 193 / 772 under strict 1:4), where the variable-ratio (1:up-to-4) primary fine-matching procedure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and the small absolute event count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≥3, ≥6, or ≥12 months from the 3-month landmark (the v3 primary already removes events occurring in the first 90 days from index by construction).</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1,479 (4.5%) had received at least two distinct vaccine doses. Application of the two matching strategies yielded the final analytic cohorts: Cohort A comprised 4,102 women (2,051 vaccinated and 2,051 unvaccinated, propensity-score matched 1:1); Cohort B comprised 1,108 women (241 vaccinated and 867 finely matched controls, mean variable ratio 3.60:1, maximum 4:1) under the legacy ≥1-dose, no-landmark specification, which was then reduced to</w:t>
      </w:r>
      <w:r>
        <w:t xml:space="preserve"> </w:t>
      </w:r>
      <w:r>
        <w:rPr>
          <w:b/>
          <w:bCs/>
        </w:rPr>
        <w:t xml:space="preserve">934 women (204 vaccinated and 730 fine-matched controls) under the pre-specified ≥2-dose + 3-month landmark primary</w:t>
      </w:r>
      <w:r>
        <w:t xml:space="preserve"> </w:t>
      </w:r>
      <w:r>
        <w:t xml:space="preserve">with matched-set integrity preserved (36 vaccinated cases failing the dose threshold and their attached non-vaccinated participants were dropped; an additional 4 patients were lost to the 3-month landmark filter).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under the v3 primary (</w:t>
      </w:r>
      <w:r>
        <w:rPr>
          <w:b/>
          <w:bCs/>
        </w:rPr>
        <w:t xml:space="preserve">n = 235: 92 vaccinated and 143 matched controls</w:t>
      </w:r>
      <w:r>
        <w:t xml:space="preserve"> </w:t>
      </w:r>
      <w:r>
        <w:t xml:space="preserve">after ≥2-dose + landmark filtering with matched-set integrity), balance was preserved. The legacy ≥1-dose clearance subset (n = 292: 110 vaccinated and 182 controls) is retained as a sensitivity comparator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reverse-Kaplan–Meier median follow-up of 4.68 years (interquartile range 1.95–9.92) in vaccinated and 6.99 years (3.73–11.21) in matched unvaccinated women (combined 5.93 y; 2.78–10.75), and accumulating approximately 12,324 vaccinated and 15,300 unvaccinated person-years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landmark-eligibility filter). For the lesion-recurrence co-primary, one additional matched set was removed because the vaccinated case had a recurrence event in the first 90 days post-index (and a small number of non-vaccinated controls similarly had early events removed), yielding a P1 analytic sample of</w:t>
      </w:r>
      <w:r>
        <w:t xml:space="preserve"> </w:t>
      </w:r>
      <w:r>
        <w:rPr>
          <w:b/>
          <w:bCs/>
        </w:rPr>
        <w:t xml:space="preserve">912 (203 vaccinated, 709 controls)</w:t>
      </w:r>
      <w:r>
        <w:t xml:space="preserve">. Within this analytic sample, 43 biopsy-confirmed lesion recurrences accrued (10 in vaccinated, incidence rate 8.83 per 1,000 person-years over 1,132 vaccinated person-years; 33 in unvaccinated,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the 3-month landmark (index + 90 days) to the first of two consecutive post-landmark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in the n = 912 P1 analytic sample)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restricting the v3 analytic subset to 235 patients (n = 92 vaccinated and 143 controls after landmark filtering with matched-set integrity; 59 clearance events in total, 31 vaccinated and 28 control) and limiting power for further stratified inference, although the overall v3 clearance HR reached conventional significance (1.85, p = 0.024).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v3 post-surgical efficacy analysis was conducted with limited statistical power for lesion recurrence: only 10 recurrences accrued in the vaccinated arm and 33 in controls after the dose and landmark filters, so the analysis was sensitive to detect protective effects only of magnitude approximately HR ≤ 0.5 at 80% power; a modest true protective effect could plausibly remain undetected.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2026-05-28T11:19:01Z</dcterms:created>
  <dcterms:modified xsi:type="dcterms:W3CDTF">2026-05-28T11:19:01Z</dcterms:modified>
</cp:coreProperties>
</file>

<file path=docProps/custom.xml><?xml version="1.0" encoding="utf-8"?>
<Properties xmlns="http://schemas.openxmlformats.org/officeDocument/2006/custom-properties" xmlns:vt="http://schemas.openxmlformats.org/officeDocument/2006/docPropsVTypes"/>
</file>