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 Computed on the legacy ≥1-dose, no-landmark Cohort B (n = 1,108: 241 vac / 867 ctl) because the v3 primary cohort (n = 934) leaves too few events for stable age × follow-up subgroup estimation. Reported as exploratory grid-search only; no inference is drawn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v3 primary cumulative-incidence curves, anchored at the 3-month landmark (index + 90 days); years 0, 2, 4, 6, 8, 10 measured from landmark. Lesion recurrence rows are the P1 analytic sample (n = 912: 203 / 709); hr-HPV clearance rows are the P2 analytic sample (n = 235: 92 / 143).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421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 Computed on the legacy ≥1-dose Cohort B (vaccine-type strata in the v3 cohort have too few events for stable estimation: n=128 Gardasil 9 / 77 Cervarix / 36 quadrivalent Gardasil under ≥1-dose collapses further under ≥2-dose).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 The ≥2-dose, 90-day landmark row coincides with the v3 PRIMARY specification (small numerical differences vs Table 3 reflect slightly different matched-set integrity application: this Sens-C variant requires both arms alive and event-free at the landmark whereas the v3 primary drops the entire matched set if the vaccinated case fails the landmark, then drops individual non-vaccinated patients with early events).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