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tables and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Cohort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</w:t>
      </w:r>
      <w:r>
        <w:t>. CONSORT-style cohort selection flow diagram. From the single source population (N = 32,969) the diagram traces the derivation of Cohort A (whole-cohort safety analysis) through eligibility filtering, pseudo-index assignment for unvaccinated controls, and 1:1 propensity-score matching to a final n = 4,102 (2,051 vaccinated / 2,051 unvaccinated); and Cohort B (post-surgical efficacy analysis) through the cervical-surgery filter (n = 6,890), 1:up-to-5 initial matching (411 / 1,815), index-date eligibility, 1:up-to-4 fine matching, and the primary exposure filter (≥2 doses + 3-month landmark with matched-set integrity preserved) yielding the primary analytic cohort n = 934 (204 vaccinated / 730 controls).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492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ohortA_CIF_H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</w:t>
      </w:r>
      <w:r>
        <w:t>. Cohort A — Aalen–Johansen cumulative incidence functions and cluster-robust hazard ratios. Panels a–e: Any-of-5 composite (a), MCE composite (b), Diabetes (c), Hypertension (d), Angina/MI (e); vaccinated red, non-vaccinated blue with 95% pointwise CI bands. Panel f: forest plot of cluster-robust cause-specific hazard ratios; endpoints with fewer than five total events are marked insufficient.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99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ohortB_CI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</w:t>
      </w:r>
      <w:r>
        <w:t>. Cohort B co-primary outcomes — cumulative incidence curves with number-at-risk tables. (a) lesion recurrence (≥CIN2) in the lesion-recurrence analytic sample (n = 912: 203 vaccinated / 709 controls); (b) cumulative clearance of pre-existing hr-HPV (two-consecutive-negative event) in the clearance subset (n = 235: 92 vaccinated / 143 controls). The x-axis is years from the 3-month landmark (index + 90 days). For clearance, HR &gt; 1 favours the vaccinated arm.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85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hortB_Sub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8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</w:t>
      </w:r>
      <w:r>
        <w:t>. Cohort B subgroup analyses — combined table-with-forest plot for both co-primary outcomes. (a) lesion recurrence (HR &lt; 1 favours vaccination); (b) hr-HPV clearance (HR &gt; 1 favours vaccination). Strata: Overall, age at index (&lt;40 / 40–49 / ≥50), vaccine type (Gardasil 9 / Cervarix / quadrivalent Gardasil). Likelihood-ratio P values for age × vaccination and vaccine-type × vaccination interaction terms are reported beneath each subgroup section.</w:t>
      </w:r>
    </w:p>
    <w:p>
      <w:r>
        <w:br w:type="page"/>
      </w:r>
    </w:p>
    <w:p>
      <w:r>
        <w:rPr>
          <w:b/>
        </w:rPr>
        <w:t>Table 1A</w:t>
      </w:r>
      <w:r>
        <w:t>. Baseline characteristics of Cohort A (chronic-disease safety analysis) after 1:1 propensity-score matching and primary exposure filtering. N = 2,776 (1,396 vaccinated / 1,380 matched controls). Absolute standardised mean differences (|SMD|) &lt; 0.10 indicate adequate balance.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Demographics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33.90 ± 9.34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33.27 ± 11.54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0.116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1982.36 ± 10.23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1981.42 ± 11.23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2016.21 ± 3.92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2014.63 ± 3.77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0.411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437 (31.3%)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468 (33.9%)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0.145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161.10 ± 5.38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160.66 ± 5.43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0.166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57.54 ± 10.00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56.53 ± 9.91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22.75 ± 2.35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22.70 ± 2.28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116.09 ± 9.63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115.81 ± 10.23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72.42 ± 7.49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72.12 ± 7.58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Smoking status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458 (32.8%)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421 (30.5%)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(0.4%)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24 (1.7%)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 (2.0%)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908 (65.0%)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927 (67.2%)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Angina/MI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 (0.6%)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(0.1%)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(0.7%)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0.453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18 (1.3%)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(0.6%)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2071.01 ± 1566.61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2792.10 ± 1562.27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 (0.1%)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 (1.2%)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0.127</w:t>
            </w:r>
          </w:p>
        </w:tc>
      </w:tr>
    </w:tbl>
    <w:p>
      <w:r>
        <w:br w:type="page"/>
      </w:r>
    </w:p>
    <w:p>
      <w:r>
        <w:rPr>
          <w:b/>
        </w:rPr>
        <w:t>Table 1B</w:t>
      </w:r>
      <w:r>
        <w:t>. Baseline characteristics of Cohort B (post-surgical efficacy analysis) after variable-ratio 1:up-to-4 fine matching and primary exposure filtering. N = 934 (204 vaccinated / 730 fine-matched controls). Absolute standardised mean differences (|SMD|) &lt; 0.10 indicate adequate balance. Pre- and post-surgery HPV status and surgical-pathology severity rows characterise the cervical-disease context at the time of the qualifying surgery.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— ≥2 DOSE + 3-MO LANDMARK PRIMARY (n=934: 204 vac / 730 non-vac)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36.96 ± 9.41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36.92 ± 8.37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0.959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22.49 ± 3.64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22.38 ± 3.88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0.733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113.50 ± 13.42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112.90 ± 13.73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0.616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72.15 ± 10.46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71.58 ± 11.96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Smoking: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 (17.6%)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76 (10.4%)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0.210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Smoking: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0.091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Smoking: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 (2.5%)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(0.8%)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Smoking: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163 (79.9%)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645 (88.4%)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0.233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Seoul residence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50 (24.5%)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209 (28.6%)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0.288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0.093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Follow-up, years (from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6.10 ± 3.84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5.98 ± 3.57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0.677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Surgery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2016.37 ± 3.68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2016.50 ± 3.61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0.652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Surgery type: Conization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203 (99.5%)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725 (99.3%)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Surgery type: Hysterectomy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(0.7%)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Comorbidity (pre-index): Angina/MI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Comorbidity (pre-index):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 (2.0%)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 (0.8%)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0.238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0.097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Comorbidity (pre-index):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 (1.0%)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 (1.4%)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Comorbidity (pre-index):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Comorbidity (pre-index): PE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Comorbidity (pre-index): Any of 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(2.9%)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 (1.9%)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— HPV testing history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Pre-surgery HPV status: HR-HPV+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 (35.3%)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277 (37.9%)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0.513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Pre-surgery HPV status: non-HR 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26 (12.7%)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 (9.2%)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0.146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0.114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Pre-surgery HPV status: HPV negative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39 (19.1%)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131 (17.9%)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0.683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Pre-surgery HPV status: No 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67 (32.8%)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255 (34.9%)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0.618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any time): HR-HPV+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77 (37.7%)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319 (43.7%)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0.149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any time): non-HR 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 (5.4%)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37 (5.1%)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0.858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any time): HPV negative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 (55.4%)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360 (49.3%)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0.133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any time): No 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 (1.5%)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 (1.9%)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before vaccine/index): HR-HPV+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26 (12.7%)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87 (11.9%)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0.717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before vaccine/index): non-HR HPV+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(2.9%)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 (1.9%)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before vaccine/index): HPV negative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55 (27.0%)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145 (19.9%)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0.168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Post-surgery HPV (first test, before vaccine/index): No test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117 (57.4%)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484 (66.3%)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0.185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— Surgical pathology severity 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Surgical pathology: Invasive cancer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 (9.8%)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79 (10.8%)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0.797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Surgical pathology: HSIL/CIN3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95 (46.6%)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317 (43.4%)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Surgical pathology: CIN2 / moderate dysplasia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 (7.8%)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45 (6.2%)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Surgical pathology: CIN1 / LSIL / mild dysplasia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 (9.8%)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83 (11.4%)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0.613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Surgical pathology: Benign / other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53 (26.0%)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206 (28.2%)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0.596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 xml:space="preserve">  Pre-vaccine hr-HPV+ (clearance subset eligibility)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95 (46.6%)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323 (44.2%)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0.578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0.047</w:t>
            </w:r>
          </w:p>
        </w:tc>
      </w:tr>
    </w:tbl>
    <w:p>
      <w:r>
        <w:br w:type="page"/>
      </w:r>
    </w:p>
    <w:p>
      <w:r>
        <w:rPr>
          <w:b/>
        </w:rPr>
        <w:t>Table 2</w:t>
      </w:r>
      <w:r>
        <w:t>. Cohort A — events, person-time, and cluster-robust cause-specific and Fine–Gray subdistribution hazard ratios for each endpoint.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016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/>
                <w:sz w:val="18"/>
              </w:rPr>
              <w:t>Events Vac / 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/>
                <w:sz w:val="18"/>
              </w:rPr>
              <w:t>Events Ctl / 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sz w:val="18"/>
              </w:rPr>
              <w:t>IR Vac (per 1,000 PY)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IR Ctl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/>
                <w:sz w:val="18"/>
              </w:rPr>
              <w:t>Cause-specific 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/>
                <w:sz w:val="18"/>
              </w:rPr>
              <w:t>Fine–Gray 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 / 1378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21 / 1371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2.32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2.01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1.27 (0.66–2.48)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1.27 (0.66–2.48)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MCE composite (MI/Stroke/PE)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 / 1388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3 / 1378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0.25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0.28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0.86 (0.14–5.22)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0.868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0.86 (0.14–5.22)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0.868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16 / 1386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17 / 1373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2.05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1.63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1.47 (0.70–3.08)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0.303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1.47 (0.70–3.08)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0.303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Stroke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 / 1396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 / 1380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r>
        <w:rPr>
          <w:b/>
        </w:rPr>
        <w:t>Table 3</w:t>
      </w:r>
      <w:r>
        <w:t>. Cohort B — events, age-adjusted Cox hazard ratios (cluster-robust on the fine-matching identifier) and p-values for the two co-primary outcomes and the legacy post-index hr-HPV detection sensitivity row.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3168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sz w:val="18"/>
              </w:rPr>
              <w:t>Favourable direction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 events / 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Vaccinated PY (rate /1000 PY)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Non-vaccinated events / 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Non-vaccinated PY (rate /1000 PY)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 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Lesion recurrence (≥CIN2 / HSIL+ or invasive carcinoma) — ≥2 dose + 3-mo landmark PRIMARY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/ 203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1132 (8.8)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 / 709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3947 (8.4)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1.01 (0.49–2.06)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hr-HPV clearance (two consecutive negatives; pre-vaccine HPV+ baseline) — ≥2 dose + 3-mo landmark PRIMARY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HR&gt;1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31 / 92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324 (95.7)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28 / 141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601 (46.6)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1.82 (1.07–3.11)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Sustained clearance — vaccinated†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31 clearance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 xml:space="preserve"> 13 reversion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 xml:space="preserve"> 18 censored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Sustained clearance — non-vaccinated†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28 clearance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 xml:space="preserve"> 13 reversion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 xml:space="preserve"> 15 censored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Sustained clearance — log-rank (vac vs non-vac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reversion-free)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χ² = 1.00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Sensitivity (Sens-C): ≥1 dose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no landmark — lesion recurrence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13 / 241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1405 (9.2)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57 / 867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5052 (11.3)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0.80 (0.44–1.43)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Sensitivity (Sens-C): ≥3 dose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no landmark — lesion recurrence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HR&lt;1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 / 167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935 (7.5)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 / 601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3206 (12.5)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0.58 (0.27–1.26)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Sensitivity (Sens-C): ≥1 dose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 xml:space="preserve"> no landmark — hr-HPV clearance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HR&gt;1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 / 110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402 (99.5)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48 / 182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764 (62.8)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1.40 (0.92–2.11)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†KM median estimates unstable (small reversion count; 3-year plateau near S(t)=0.5; length-biased selection toward longer-FU patients). 5-year reversion-free probability is reported as a more stable summary; arms differ &lt;4 percentage points at 5 y.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