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S3A</w:t>
      </w:r>
      <w:r>
        <w:t>. Age-stratified hazard ratios for Cohort B lesion recurrence across follow-up windows in the pre-specified age strata (&lt;40 / 40–49 / ≥50 years). Reported descriptively as an exploratory hypothesis-generating analysis; no inference is drawn from these subgroup estimates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S3B</w:t>
      </w:r>
      <w:r>
        <w:t>. Exploratory grid-search of overlapping age and follow-up windows for the Cohort B lesion-recurrence outcome (≈6,920 cell combinations of age_min, age_max, landmark, and max_fu_years). Reported for transparency around the post-hoc 30–52 y / 2-y window cell named in Manuscript Limitations. The full grid is supplied as Data/sensitivity_age_cutoff.csv. The Bonferroni-adjusted significance threshold for the family of 6,920 tests is α = 7.2 × 10⁻⁶; no cell — including the highlighted 30–52 y / 2-y cell — survives this correction. The table below reports the highlighted cell and the next five smallest-p non-degenerate cells; degenerate cells with zero vaccinated events (HR = ∞) are excluded.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Cell (age range, landmark, FU window)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nominal p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Bonferroni-adjusted 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Highlighted: age 30–52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802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169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31 / 633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0.23 (0.06–0.96)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 20–52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1,046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228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35 / 818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0.30 (0.09–0.97)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 22–52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1,029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223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35 / 806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0.30 (0.09–0.98)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 24–52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1,013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219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35 / 794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0.30 (0.09–0.98)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 30–50 y, landmark 0 d, FU ≤2 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765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160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605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0.24 (0.06–1.00)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1.000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cumulative-incidence curves, time origin at the index date; years 0, 2, 4, 6, 8, 10 measured from index. All patients in the primary cohort survived the 3-month landmark event-free by construction, so the number at risk at year 0 equals the primary cohort size and remains unchanged through the first 0.25 years. Lesion-recurrence rows are the primary cohort (n = 912: 203 / 709); hr-HPV clearance rows are the clearance subset (n = 233: 92 / 141).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176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125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615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457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270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an exploratory post-index hr-HPV detection model that conflates persistence with new acquisition (reported descriptively only).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report both co-primary outcomes (lesion recurrence, hr-HPV clearance) and the Kaplan–Meier sustained-clearance summary.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18/1378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21/1371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2/1388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3/1378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16/1386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17/1373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46.6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1111 (7.2)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4031 (11.2)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Immortal-time-bias-corrected dose-threshold sensitivity for Cohort B. Landmarks reflect the standard HPV-vaccine 0–2–6 month schedule plus grace: ≥1 dose at 30 days, ≥2 doses at 90 days, ≥3 doses at 240 days. Patients in both arms must be alive and event-free at the landmark to enter the analysis; for vaccinated cases, the k-th dose must additionally have been received by the landmark. Time is left-truncated at the landmark. The ≥2-dose, 90-day landmark specification coincides with the primary specification used in the main analysis.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(post-index, ≥90 d)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(0.48–3.75)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18/84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3.29 (1.41–7.70)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8/118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0.63 (0.15–2.59)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0.523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1.93 (0.27–14.07)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0.516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1.67 (1.11–2.50)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