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01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1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1:1 propensity-score matching, and the primary exposure filter (≥2 doses + 3-month landmark with matched-pair integrity preserved) yielding a final analytic cohort n = 2,776 (1,396 vaccinated / 1,380 unvaccinated); and Cohort B (post-surgical efficacy analysis) through the cervical-surgery filter (n = 6,890), 1:up-to-5 initial matching, index-date eligibility, 1:up-to-4 fine matching, and the same primary exposure filter with matched-set integrity preserved, yielding a primary analytic cohort n = 912 (203 vaccinated / 709 fine-matched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primary cohort (n = 912: 203 vaccinated / 709 controls); (b) cumulative clearance of pre-existing hr-HPV (two-consecutive-negative event) in the clearance subset (n = 233: 92 vaccinated / 141 controls). The x-axis is years from index.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8403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40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 Subgroups with fewer than five events across the two arms are marked NE (not estimable) with the hazard ratio suppressed — applicable to the ≥50-year stratum for hr-HPV clearance (2/5 vaccinated, 1/6 controls).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912 (203 vaccinated / 709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(n=912: 203 vac / 709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36.99 ± 9.42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36.90 ± 8.40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22.51 ± 3.63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113.59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112.85 ± 13.78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72.04 ± 10.41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71.48 ± 12.01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75 (10.6%)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 (79.8%)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626 (88.3%)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204 (28.8%)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6.11 ± 3.85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6.02 ± 3.58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2016.35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2016.44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202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705 (99.4%)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269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(12.3%)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126 (17.8%)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247 (34.8%)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310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349 (49.2%)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85 (12.0%)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141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469 (66.1%)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94 (46.3%)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303 (42.7%)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81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(29.1%)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314 (44.3%)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of the Cohort B clearance co-primary analytic subset (women with documented pre-vaccine hr-HPV positivity, after matched-set integrity and the 3-month landmark). N = 233 (92 vaccinated / 141 fine-matched controls). Absolute standardised mean differences (|SMD|) describe balance on the matching covariates within the clearance subset.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+ PRE-VACCINE hr-HPV+ CLEARANCE SUBSET (n=233: 92 vac / 141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35.62 ± 8.09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35.65 ± 7.01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22.36 ± 3.34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21.84 ± 3.09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(43.5%)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 (49.6%)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6.29 ± 3.89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5.72 ± 3.35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2016.12 ± 3.45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2016.84 ± 3.00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92 (100.0%)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140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 / 193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 / 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