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AD350">
      <w:pPr>
        <w:pStyle w:val="2"/>
        <w:bidi w:val="0"/>
        <w:rPr>
          <w:rFonts w:hint="default"/>
          <w:lang w:val="en-US" w:eastAsia="zh-CN"/>
        </w:rPr>
      </w:pPr>
      <w:r>
        <w:rPr>
          <w:rFonts w:hint="eastAsia"/>
          <w:lang w:val="en-US" w:eastAsia="zh-CN"/>
        </w:rPr>
        <w:t>分析报告</w:t>
      </w:r>
    </w:p>
    <w:p w14:paraId="6954D02D">
      <w:pPr>
        <w:rPr>
          <w:rFonts w:hint="eastAsia" w:ascii="宋体" w:hAnsi="宋体" w:eastAsia="宋体" w:cs="宋体"/>
          <w:sz w:val="24"/>
          <w:szCs w:val="24"/>
          <w:lang w:eastAsia="zh-CN"/>
        </w:rPr>
      </w:pPr>
      <w:r>
        <w:rPr>
          <w:rFonts w:ascii="宋体" w:hAnsi="宋体" w:eastAsia="宋体" w:cs="宋体"/>
          <w:sz w:val="24"/>
          <w:szCs w:val="24"/>
        </w:rPr>
        <w:t>作业</w:t>
      </w:r>
      <w:r>
        <w:rPr>
          <w:rFonts w:hint="eastAsia" w:ascii="宋体" w:hAnsi="宋体" w:eastAsia="宋体" w:cs="宋体"/>
          <w:sz w:val="24"/>
          <w:szCs w:val="24"/>
          <w:lang w:val="en-US" w:eastAsia="zh-CN"/>
        </w:rPr>
        <w:t>一</w:t>
      </w:r>
      <w:r>
        <w:rPr>
          <w:rFonts w:ascii="宋体" w:hAnsi="宋体" w:eastAsia="宋体" w:cs="宋体"/>
          <w:sz w:val="24"/>
          <w:szCs w:val="24"/>
        </w:rPr>
        <w:t>：依据所给数据，任选你感兴趣的两个行业。研究这两个行业历年来的市盈率（</w:t>
      </w:r>
      <w:r>
        <w:rPr>
          <w:rFonts w:hint="default" w:ascii="Times New Roman" w:hAnsi="Times New Roman" w:cs="Times New Roman"/>
          <w:lang w:val="en-US" w:eastAsia="zh-CN"/>
        </w:rPr>
        <w:t>PE</w:t>
      </w:r>
      <w:r>
        <w:rPr>
          <w:rFonts w:ascii="宋体" w:hAnsi="宋体" w:eastAsia="宋体" w:cs="宋体"/>
          <w:sz w:val="24"/>
          <w:szCs w:val="24"/>
        </w:rPr>
        <w:t>）变化和对比趋势（注意是使用</w:t>
      </w:r>
      <w:r>
        <w:rPr>
          <w:rFonts w:hint="default" w:ascii="Times New Roman" w:hAnsi="Times New Roman" w:cs="Times New Roman"/>
          <w:lang w:val="en-US" w:eastAsia="zh-CN"/>
        </w:rPr>
        <w:t>pandas</w:t>
      </w:r>
      <w:r>
        <w:rPr>
          <w:rFonts w:ascii="宋体" w:hAnsi="宋体" w:eastAsia="宋体" w:cs="宋体"/>
          <w:sz w:val="24"/>
          <w:szCs w:val="24"/>
        </w:rPr>
        <w:t>通过所给数据计算）。并简要分析两个行业</w:t>
      </w:r>
      <w:r>
        <w:rPr>
          <w:rFonts w:ascii="宋体" w:hAnsi="宋体" w:eastAsia="宋体" w:cs="Times New Roman"/>
          <w:sz w:val="24"/>
          <w:szCs w:val="24"/>
        </w:rPr>
        <w:t>PE</w:t>
      </w:r>
      <w:r>
        <w:rPr>
          <w:rFonts w:ascii="宋体" w:hAnsi="宋体" w:eastAsia="宋体" w:cs="宋体"/>
          <w:sz w:val="24"/>
          <w:szCs w:val="24"/>
        </w:rPr>
        <w:t>比较</w:t>
      </w:r>
      <w:r>
        <w:rPr>
          <w:rFonts w:hint="eastAsia" w:ascii="宋体" w:hAnsi="宋体" w:eastAsia="宋体" w:cs="宋体"/>
          <w:sz w:val="24"/>
          <w:szCs w:val="24"/>
          <w:lang w:eastAsia="zh-CN"/>
        </w:rPr>
        <w:t>。</w:t>
      </w:r>
    </w:p>
    <w:p w14:paraId="55E05B96">
      <w:pPr>
        <w:rPr>
          <w:rFonts w:ascii="宋体" w:hAnsi="宋体" w:eastAsia="宋体" w:cs="宋体"/>
          <w:sz w:val="24"/>
          <w:szCs w:val="24"/>
        </w:rPr>
      </w:pPr>
      <w:r>
        <w:rPr>
          <w:rFonts w:ascii="宋体" w:hAnsi="宋体" w:eastAsia="宋体" w:cs="宋体"/>
          <w:sz w:val="24"/>
          <w:szCs w:val="24"/>
        </w:rPr>
        <w:t>提交地址：</w:t>
      </w:r>
      <w:r>
        <w:rPr>
          <w:rFonts w:ascii="宋体" w:hAnsi="宋体" w:eastAsia="宋体" w:cs="宋体"/>
          <w:sz w:val="24"/>
          <w:szCs w:val="24"/>
        </w:rPr>
        <w:fldChar w:fldCharType="begin"/>
      </w:r>
      <w:r>
        <w:rPr>
          <w:rFonts w:ascii="宋体" w:hAnsi="宋体" w:eastAsia="宋体" w:cs="宋体"/>
          <w:sz w:val="24"/>
          <w:szCs w:val="24"/>
        </w:rPr>
        <w:instrText xml:space="preserve"> HYPERLINK "https://send2me.cn/KNdS_NyF/TseMDrB-I02Eow" </w:instrText>
      </w:r>
      <w:r>
        <w:rPr>
          <w:rFonts w:ascii="宋体" w:hAnsi="宋体" w:eastAsia="宋体" w:cs="宋体"/>
          <w:sz w:val="24"/>
          <w:szCs w:val="24"/>
        </w:rPr>
        <w:fldChar w:fldCharType="separate"/>
      </w:r>
      <w:r>
        <w:rPr>
          <w:rStyle w:val="6"/>
          <w:rFonts w:ascii="宋体" w:hAnsi="宋体" w:eastAsia="宋体" w:cs="Times New Roman"/>
          <w:sz w:val="24"/>
          <w:szCs w:val="24"/>
        </w:rPr>
        <w:t>https</w:t>
      </w:r>
      <w:r>
        <w:rPr>
          <w:rStyle w:val="6"/>
          <w:rFonts w:ascii="宋体" w:hAnsi="宋体" w:eastAsia="宋体" w:cs="宋体"/>
          <w:sz w:val="24"/>
          <w:szCs w:val="24"/>
        </w:rPr>
        <w:t>://</w:t>
      </w:r>
      <w:r>
        <w:rPr>
          <w:rStyle w:val="6"/>
          <w:rFonts w:ascii="宋体" w:hAnsi="宋体" w:eastAsia="宋体" w:cs="Times New Roman"/>
          <w:sz w:val="24"/>
          <w:szCs w:val="24"/>
        </w:rPr>
        <w:t>send</w:t>
      </w:r>
      <w:r>
        <w:rPr>
          <w:rStyle w:val="6"/>
          <w:rFonts w:ascii="宋体" w:hAnsi="宋体" w:eastAsia="宋体" w:cs="宋体"/>
          <w:sz w:val="24"/>
          <w:szCs w:val="24"/>
        </w:rPr>
        <w:t>2</w:t>
      </w:r>
      <w:r>
        <w:rPr>
          <w:rStyle w:val="6"/>
          <w:rFonts w:ascii="宋体" w:hAnsi="宋体" w:eastAsia="宋体" w:cs="Times New Roman"/>
          <w:sz w:val="24"/>
          <w:szCs w:val="24"/>
        </w:rPr>
        <w:t>me</w:t>
      </w:r>
      <w:r>
        <w:rPr>
          <w:rStyle w:val="6"/>
          <w:rFonts w:ascii="宋体" w:hAnsi="宋体" w:eastAsia="宋体" w:cs="宋体"/>
          <w:sz w:val="24"/>
          <w:szCs w:val="24"/>
        </w:rPr>
        <w:t>.</w:t>
      </w:r>
      <w:r>
        <w:rPr>
          <w:rStyle w:val="6"/>
          <w:rFonts w:ascii="宋体" w:hAnsi="宋体" w:eastAsia="宋体" w:cs="Times New Roman"/>
          <w:sz w:val="24"/>
          <w:szCs w:val="24"/>
        </w:rPr>
        <w:t>cn</w:t>
      </w:r>
      <w:r>
        <w:rPr>
          <w:rStyle w:val="6"/>
          <w:rFonts w:ascii="宋体" w:hAnsi="宋体" w:eastAsia="宋体" w:cs="宋体"/>
          <w:sz w:val="24"/>
          <w:szCs w:val="24"/>
        </w:rPr>
        <w:t>/</w:t>
      </w:r>
      <w:r>
        <w:rPr>
          <w:rStyle w:val="6"/>
          <w:rFonts w:ascii="宋体" w:hAnsi="宋体" w:eastAsia="宋体" w:cs="Times New Roman"/>
          <w:sz w:val="24"/>
          <w:szCs w:val="24"/>
        </w:rPr>
        <w:t>KNdS</w:t>
      </w:r>
      <w:r>
        <w:rPr>
          <w:rStyle w:val="6"/>
          <w:rFonts w:ascii="宋体" w:hAnsi="宋体" w:eastAsia="宋体" w:cs="宋体"/>
          <w:sz w:val="24"/>
          <w:szCs w:val="24"/>
        </w:rPr>
        <w:t>_</w:t>
      </w:r>
      <w:r>
        <w:rPr>
          <w:rStyle w:val="6"/>
          <w:rFonts w:ascii="宋体" w:hAnsi="宋体" w:eastAsia="宋体" w:cs="Times New Roman"/>
          <w:sz w:val="24"/>
          <w:szCs w:val="24"/>
        </w:rPr>
        <w:t>NyF</w:t>
      </w:r>
      <w:r>
        <w:rPr>
          <w:rStyle w:val="6"/>
          <w:rFonts w:ascii="宋体" w:hAnsi="宋体" w:eastAsia="宋体" w:cs="宋体"/>
          <w:sz w:val="24"/>
          <w:szCs w:val="24"/>
        </w:rPr>
        <w:t>/</w:t>
      </w:r>
      <w:r>
        <w:rPr>
          <w:rStyle w:val="6"/>
          <w:rFonts w:ascii="宋体" w:hAnsi="宋体" w:eastAsia="宋体" w:cs="Times New Roman"/>
          <w:sz w:val="24"/>
          <w:szCs w:val="24"/>
        </w:rPr>
        <w:t>TseMDrB</w:t>
      </w:r>
      <w:r>
        <w:rPr>
          <w:rStyle w:val="6"/>
          <w:rFonts w:ascii="宋体" w:hAnsi="宋体" w:eastAsia="宋体" w:cs="宋体"/>
          <w:sz w:val="24"/>
          <w:szCs w:val="24"/>
        </w:rPr>
        <w:t>-</w:t>
      </w:r>
      <w:r>
        <w:rPr>
          <w:rStyle w:val="6"/>
          <w:rFonts w:ascii="宋体" w:hAnsi="宋体" w:eastAsia="宋体" w:cs="Times New Roman"/>
          <w:sz w:val="24"/>
          <w:szCs w:val="24"/>
        </w:rPr>
        <w:t>I</w:t>
      </w:r>
      <w:r>
        <w:rPr>
          <w:rStyle w:val="6"/>
          <w:rFonts w:ascii="宋体" w:hAnsi="宋体" w:eastAsia="宋体" w:cs="宋体"/>
          <w:sz w:val="24"/>
          <w:szCs w:val="24"/>
        </w:rPr>
        <w:t>02</w:t>
      </w:r>
      <w:r>
        <w:rPr>
          <w:rStyle w:val="6"/>
          <w:rFonts w:ascii="宋体" w:hAnsi="宋体" w:eastAsia="宋体" w:cs="Times New Roman"/>
          <w:sz w:val="24"/>
          <w:szCs w:val="24"/>
        </w:rPr>
        <w:t>Eow</w:t>
      </w:r>
      <w:r>
        <w:rPr>
          <w:rFonts w:ascii="宋体" w:hAnsi="宋体" w:eastAsia="宋体" w:cs="宋体"/>
          <w:sz w:val="24"/>
          <w:szCs w:val="24"/>
        </w:rPr>
        <w:fldChar w:fldCharType="end"/>
      </w:r>
    </w:p>
    <w:p w14:paraId="15B69F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选择行业：房地产、金融，依据行业代码</w:t>
      </w:r>
      <w:r>
        <w:rPr>
          <w:rFonts w:hint="eastAsia" w:ascii="宋体" w:hAnsi="宋体" w:eastAsia="宋体" w:cs="Times New Roman"/>
          <w:sz w:val="24"/>
          <w:szCs w:val="24"/>
          <w:lang w:val="en-US" w:eastAsia="zh-CN"/>
        </w:rPr>
        <w:t>A</w:t>
      </w:r>
      <w:r>
        <w:rPr>
          <w:rFonts w:hint="eastAsia" w:ascii="宋体" w:hAnsi="宋体" w:eastAsia="宋体" w:cs="宋体"/>
          <w:sz w:val="24"/>
          <w:szCs w:val="24"/>
          <w:lang w:val="en-US" w:eastAsia="zh-CN"/>
        </w:rPr>
        <w:t>分类</w:t>
      </w:r>
    </w:p>
    <w:p w14:paraId="021FD1C1">
      <w:pPr>
        <w:pStyle w:val="3"/>
        <w:bidi w:val="0"/>
        <w:rPr>
          <w:rFonts w:hint="eastAsia"/>
          <w:lang w:val="en-US" w:eastAsia="zh-CN"/>
        </w:rPr>
      </w:pPr>
      <w:r>
        <w:rPr>
          <w:rFonts w:hint="eastAsia"/>
          <w:lang w:val="en-US" w:eastAsia="zh-CN"/>
        </w:rPr>
        <w:t>一、处理思路</w:t>
      </w:r>
    </w:p>
    <w:p w14:paraId="46F9A5D8">
      <w:pPr>
        <w:ind w:left="0" w:leftChars="0" w:firstLine="480" w:firstLineChars="200"/>
        <w:rPr>
          <w:rFonts w:hint="default"/>
          <w:lang w:val="en-US" w:eastAsia="zh-CN"/>
        </w:rPr>
      </w:pPr>
      <w:r>
        <w:rPr>
          <w:rFonts w:hint="eastAsia"/>
          <w:lang w:val="en-US" w:eastAsia="zh-CN"/>
        </w:rPr>
        <w:t>首先，分析</w:t>
      </w:r>
      <w:r>
        <w:rPr>
          <w:rFonts w:hint="default"/>
          <w:lang w:val="en-US" w:eastAsia="zh-CN"/>
        </w:rPr>
        <w:t>使用的数据来源</w:t>
      </w:r>
      <w:r>
        <w:rPr>
          <w:rFonts w:hint="eastAsia"/>
          <w:lang w:val="en-US" w:eastAsia="zh-CN"/>
        </w:rPr>
        <w:t>，</w:t>
      </w:r>
      <w:r>
        <w:rPr>
          <w:rFonts w:hint="default"/>
          <w:lang w:val="en-US" w:eastAsia="zh-CN"/>
        </w:rPr>
        <w:t>包含行业分类的公司信息表（</w:t>
      </w:r>
      <w:r>
        <w:rPr>
          <w:rFonts w:hint="default" w:ascii="Times New Roman" w:hAnsi="Times New Roman" w:cs="Times New Roman"/>
          <w:lang w:val="en-US" w:eastAsia="zh-CN"/>
        </w:rPr>
        <w:t>TRD_Co.xlsx</w:t>
      </w:r>
      <w:r>
        <w:rPr>
          <w:rFonts w:hint="default"/>
          <w:lang w:val="en-US" w:eastAsia="zh-CN"/>
        </w:rPr>
        <w:t>）、包含总市值的年个股行情表（</w:t>
      </w:r>
      <w:r>
        <w:rPr>
          <w:rFonts w:hint="default" w:ascii="Times New Roman" w:hAnsi="Times New Roman" w:cs="Times New Roman"/>
          <w:lang w:val="en-US" w:eastAsia="zh-CN"/>
        </w:rPr>
        <w:t>TRD_Year.xlsx</w:t>
      </w:r>
      <w:r>
        <w:rPr>
          <w:rFonts w:hint="default"/>
          <w:lang w:val="en-US" w:eastAsia="zh-CN"/>
        </w:rPr>
        <w:t>），以及包含归母净利润的财务利润表（</w:t>
      </w:r>
      <w:r>
        <w:rPr>
          <w:rFonts w:hint="default" w:ascii="Times New Roman" w:hAnsi="Times New Roman" w:cs="Times New Roman"/>
          <w:lang w:val="en-US" w:eastAsia="zh-CN"/>
        </w:rPr>
        <w:t>FS_Comins.csv</w:t>
      </w:r>
      <w:r>
        <w:rPr>
          <w:rFonts w:hint="default"/>
          <w:lang w:val="en-US" w:eastAsia="zh-CN"/>
        </w:rPr>
        <w:t>）。</w:t>
      </w:r>
    </w:p>
    <w:p w14:paraId="56A24EE1">
      <w:pPr>
        <w:ind w:left="0" w:leftChars="0" w:firstLine="480" w:firstLineChars="200"/>
        <w:rPr>
          <w:rFonts w:hint="default"/>
          <w:lang w:val="en-US" w:eastAsia="zh-CN"/>
        </w:rPr>
      </w:pPr>
      <w:r>
        <w:rPr>
          <w:rFonts w:hint="eastAsia"/>
          <w:lang w:val="en-US" w:eastAsia="zh-CN"/>
        </w:rPr>
        <w:t>为了统一变量和确定行业分类，我统一使用行业代码</w:t>
      </w:r>
      <w:r>
        <w:rPr>
          <w:rFonts w:hint="eastAsia" w:ascii="Times New Roman" w:hAnsi="Times New Roman" w:cs="Times New Roman"/>
          <w:lang w:val="en-US" w:eastAsia="zh-CN"/>
        </w:rPr>
        <w:t>A</w:t>
      </w:r>
      <w:r>
        <w:rPr>
          <w:rFonts w:hint="eastAsia"/>
          <w:lang w:val="en-US" w:eastAsia="zh-CN"/>
        </w:rPr>
        <w:t>分类，并根据兴趣选择金融行业和房地产行业。两行业的代码如下表所示。</w:t>
      </w:r>
    </w:p>
    <w:p w14:paraId="2780BEC2">
      <w:pPr>
        <w:jc w:val="center"/>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表1  行业代码表</w:t>
      </w:r>
    </w:p>
    <w:tbl>
      <w:tblPr>
        <w:tblW w:w="8313"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4278"/>
        <w:gridCol w:w="4035"/>
      </w:tblGrid>
      <w:tr w14:paraId="1B8E6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278" w:type="dxa"/>
            <w:tcBorders>
              <w:top w:val="single" w:color="000000" w:sz="4" w:space="0"/>
              <w:left w:val="nil"/>
              <w:bottom w:val="nil"/>
              <w:right w:val="nil"/>
              <w:tl2br w:val="nil"/>
            </w:tcBorders>
            <w:shd w:val="clear" w:color="auto" w:fill="FFFFFF"/>
            <w:noWrap/>
            <w:vAlign w:val="center"/>
          </w:tcPr>
          <w:p w14:paraId="4647E03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行业代码</w:t>
            </w:r>
            <w:r>
              <w:rPr>
                <w:rFonts w:hint="eastAsia" w:ascii="Times New Roman" w:hAnsi="Times New Roman" w:cs="Times New Roman"/>
                <w:lang w:val="en-US" w:eastAsia="zh-CN"/>
              </w:rPr>
              <w:t>A</w:t>
            </w:r>
          </w:p>
        </w:tc>
        <w:tc>
          <w:tcPr>
            <w:tcW w:w="4035" w:type="dxa"/>
            <w:tcBorders>
              <w:top w:val="single" w:color="000000" w:sz="4" w:space="0"/>
              <w:left w:val="nil"/>
              <w:bottom w:val="nil"/>
              <w:right w:val="nil"/>
            </w:tcBorders>
            <w:shd w:val="clear" w:color="auto" w:fill="FFFFFF"/>
            <w:noWrap/>
            <w:vAlign w:val="center"/>
          </w:tcPr>
          <w:p w14:paraId="63A8D95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行业名称</w:t>
            </w:r>
            <w:r>
              <w:rPr>
                <w:rFonts w:hint="eastAsia" w:ascii="Times New Roman" w:hAnsi="Times New Roman" w:cs="Times New Roman"/>
                <w:lang w:val="en-US" w:eastAsia="zh-CN"/>
              </w:rPr>
              <w:t>A</w:t>
            </w:r>
          </w:p>
        </w:tc>
      </w:tr>
      <w:tr w14:paraId="25541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278" w:type="dxa"/>
            <w:tcBorders>
              <w:top w:val="nil"/>
              <w:left w:val="nil"/>
              <w:bottom w:val="nil"/>
              <w:right w:val="nil"/>
            </w:tcBorders>
            <w:shd w:val="clear" w:color="auto" w:fill="FFFFFF"/>
            <w:noWrap/>
            <w:vAlign w:val="center"/>
          </w:tcPr>
          <w:p w14:paraId="73143EA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0001</w:t>
            </w:r>
          </w:p>
        </w:tc>
        <w:tc>
          <w:tcPr>
            <w:tcW w:w="4035" w:type="dxa"/>
            <w:tcBorders>
              <w:top w:val="nil"/>
              <w:left w:val="nil"/>
              <w:bottom w:val="nil"/>
              <w:right w:val="nil"/>
            </w:tcBorders>
            <w:shd w:val="clear" w:color="auto" w:fill="FFFFFF"/>
            <w:noWrap/>
            <w:vAlign w:val="center"/>
          </w:tcPr>
          <w:p w14:paraId="6915A4A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金融</w:t>
            </w:r>
          </w:p>
        </w:tc>
      </w:tr>
      <w:tr w14:paraId="24FD8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278" w:type="dxa"/>
            <w:tcBorders>
              <w:top w:val="nil"/>
              <w:left w:val="nil"/>
              <w:bottom w:val="single" w:color="000000" w:sz="4" w:space="0"/>
              <w:right w:val="nil"/>
            </w:tcBorders>
            <w:shd w:val="clear" w:color="auto" w:fill="FFFFFF"/>
            <w:noWrap/>
            <w:vAlign w:val="center"/>
          </w:tcPr>
          <w:p w14:paraId="66D4D08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0003</w:t>
            </w:r>
          </w:p>
        </w:tc>
        <w:tc>
          <w:tcPr>
            <w:tcW w:w="4035" w:type="dxa"/>
            <w:tcBorders>
              <w:top w:val="nil"/>
              <w:left w:val="nil"/>
              <w:bottom w:val="single" w:color="000000" w:sz="4" w:space="0"/>
              <w:right w:val="nil"/>
            </w:tcBorders>
            <w:shd w:val="clear" w:color="auto" w:fill="FFFFFF"/>
            <w:noWrap/>
            <w:vAlign w:val="center"/>
          </w:tcPr>
          <w:p w14:paraId="7766469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房地产</w:t>
            </w:r>
          </w:p>
        </w:tc>
      </w:tr>
    </w:tbl>
    <w:p w14:paraId="7ECD6F86">
      <w:pPr>
        <w:rPr>
          <w:rFonts w:hint="default" w:ascii="宋体" w:hAnsi="宋体" w:eastAsia="宋体" w:cs="宋体"/>
          <w:sz w:val="24"/>
          <w:szCs w:val="24"/>
          <w:lang w:val="en-US" w:eastAsia="zh-CN"/>
        </w:rPr>
      </w:pPr>
      <w:r>
        <w:rPr>
          <w:rFonts w:hint="eastAsia" w:ascii="宋体" w:hAnsi="宋体" w:cs="宋体"/>
          <w:sz w:val="24"/>
          <w:szCs w:val="24"/>
          <w:lang w:val="en-US" w:eastAsia="zh-CN"/>
        </w:rPr>
        <w:t>接着，</w:t>
      </w:r>
      <w:r>
        <w:rPr>
          <w:rFonts w:hint="default" w:ascii="宋体" w:hAnsi="宋体" w:eastAsia="宋体" w:cs="宋体"/>
          <w:sz w:val="24"/>
          <w:szCs w:val="24"/>
          <w:lang w:val="en-US" w:eastAsia="zh-CN"/>
        </w:rPr>
        <w:t>遵循标准的数据处理流程，进行数据清洗，包括将股票代码统一转换为字符串格式以便后续合并，财务报表仅保留合并报表类型（</w:t>
      </w:r>
      <w:r>
        <w:rPr>
          <w:rFonts w:hint="default" w:ascii="Times New Roman" w:hAnsi="Times New Roman" w:cs="Times New Roman"/>
          <w:lang w:val="en-US" w:eastAsia="zh-CN"/>
        </w:rPr>
        <w:t>Typrep</w:t>
      </w:r>
      <w:r>
        <w:rPr>
          <w:rFonts w:hint="default" w:ascii="宋体" w:hAnsi="宋体" w:eastAsia="宋体" w:cs="宋体"/>
          <w:sz w:val="24"/>
          <w:szCs w:val="24"/>
          <w:lang w:val="en-US" w:eastAsia="zh-CN"/>
        </w:rPr>
        <w:t>为</w:t>
      </w:r>
      <w:r>
        <w:rPr>
          <w:rFonts w:hint="default" w:ascii="宋体" w:hAnsi="宋体" w:eastAsia="宋体" w:cs="Times New Roman"/>
          <w:sz w:val="24"/>
          <w:szCs w:val="24"/>
          <w:lang w:val="en-US" w:eastAsia="zh-CN"/>
        </w:rPr>
        <w:t>A</w:t>
      </w:r>
      <w:r>
        <w:rPr>
          <w:rFonts w:hint="default" w:ascii="宋体" w:hAnsi="宋体" w:eastAsia="宋体" w:cs="宋体"/>
          <w:sz w:val="24"/>
          <w:szCs w:val="24"/>
          <w:lang w:val="en-US" w:eastAsia="zh-CN"/>
        </w:rPr>
        <w:t>的记录），并从财务日期中提取年份字段，同时删除净利润缺失的记录。</w:t>
      </w:r>
    </w:p>
    <w:p w14:paraId="4D375B9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完成基础清洗后，从公司表中筛选出金融行业（行业代码0001）和房地产行业（行业代码0003）的公司，其他行业不纳入分析范围。</w:t>
      </w:r>
    </w:p>
    <w:p w14:paraId="094D55B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接下来进行数据合并，先将财务数据与行业数据通过股票代码关联，再将合并结果与市值数据通过股票代码和年份两个字段同时关联，确保每家公司在每个年份的净利润和市值能够对应。</w:t>
      </w:r>
    </w:p>
    <w:p w14:paraId="464DC3B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合并完成后计算市盈率</w:t>
      </w:r>
      <w:r>
        <w:rPr>
          <w:rFonts w:hint="default" w:ascii="宋体" w:hAnsi="宋体" w:eastAsia="宋体" w:cs="Times New Roman"/>
          <w:sz w:val="24"/>
          <w:szCs w:val="24"/>
          <w:lang w:val="en-US" w:eastAsia="zh-CN"/>
        </w:rPr>
        <w:t>PE</w:t>
      </w:r>
      <w:r>
        <w:rPr>
          <w:rFonts w:hint="eastAsia" w:ascii="宋体" w:hAnsi="宋体" w:cs="宋体"/>
          <w:sz w:val="24"/>
          <w:szCs w:val="24"/>
          <w:lang w:val="en-US" w:eastAsia="zh-CN"/>
        </w:rPr>
        <w:t>，</w:t>
      </w:r>
    </w:p>
    <w:p w14:paraId="6964511E">
      <w:pPr>
        <w:spacing w:line="480" w:lineRule="auto"/>
        <w:jc w:val="both"/>
        <w:rPr>
          <w:rFonts w:hint="eastAsia" w:hAnsi="Cambria Math" w:eastAsia="宋体" w:cs="宋体"/>
          <w:i w:val="0"/>
          <w:kern w:val="2"/>
          <w:sz w:val="24"/>
          <w:szCs w:val="24"/>
          <w:lang w:val="en-US" w:eastAsia="zh-CN" w:bidi="ar-SA"/>
        </w:rPr>
      </w:pPr>
      <m:oMathPara>
        <m:oMath>
          <m:r>
            <m:rPr>
              <m:sty m:val="p"/>
            </m:rPr>
            <w:rPr>
              <w:rFonts w:hint="default" w:ascii="Times New Roman" w:hAnsi="Times New Roman" w:cs="Times New Roman"/>
              <w:lang w:val="en-US" w:eastAsia="zh-CN"/>
            </w:rPr>
            <m:t>PE</m:t>
          </m:r>
          <m:r>
            <m:rPr/>
            <w:rPr>
              <w:rFonts w:hint="default" w:ascii="Cambria Math" w:hAnsi="Cambria Math" w:eastAsia="宋体"/>
              <w:sz w:val="24"/>
              <w:szCs w:val="24"/>
            </w:rPr>
            <m:t>=</m:t>
          </m:r>
          <m:f>
            <m:fPr>
              <m:ctrlPr>
                <w:rPr>
                  <w:rFonts w:hint="default" w:ascii="Cambria Math" w:hAnsi="Cambria Math" w:eastAsia="宋体"/>
                  <w:sz w:val="24"/>
                  <w:szCs w:val="24"/>
                </w:rPr>
              </m:ctrlPr>
            </m:fPr>
            <m:num>
              <m:r>
                <m:rPr/>
                <w:rPr>
                  <w:rFonts w:hint="default" w:ascii="Cambria Math" w:hAnsi="Cambria Math" w:eastAsia="宋体"/>
                  <w:sz w:val="24"/>
                  <w:szCs w:val="24"/>
                </w:rPr>
                <m:t>总市值</m:t>
              </m:r>
              <m:ctrlPr>
                <w:rPr>
                  <w:rFonts w:ascii="Cambria Math" w:hAnsi="Cambria Math" w:eastAsia="宋体"/>
                  <w:sz w:val="24"/>
                  <w:szCs w:val="24"/>
                </w:rPr>
              </m:ctrlPr>
            </m:num>
            <m:den>
              <m:r>
                <m:rPr/>
                <w:rPr>
                  <w:rFonts w:hint="default" w:ascii="Cambria Math" w:hAnsi="Cambria Math" w:eastAsia="宋体"/>
                  <w:sz w:val="24"/>
                  <w:szCs w:val="24"/>
                </w:rPr>
                <m:t>归母净利润</m:t>
              </m:r>
              <m:ctrlPr>
                <w:rPr>
                  <w:rFonts w:ascii="Cambria Math" w:hAnsi="Cambria Math" w:eastAsia="宋体"/>
                  <w:sz w:val="24"/>
                  <w:szCs w:val="24"/>
                </w:rPr>
              </m:ctrlPr>
            </m:den>
          </m:f>
        </m:oMath>
      </m:oMathPara>
    </w:p>
    <w:p w14:paraId="210AB86A">
      <w:pPr>
        <w:jc w:val="right"/>
        <w:rPr>
          <w:rFonts w:hint="default" w:ascii="宋体" w:hAnsi="宋体" w:eastAsia="宋体" w:cs="宋体"/>
          <w:sz w:val="24"/>
          <w:szCs w:val="24"/>
          <w:lang w:val="en-US" w:eastAsia="zh-CN"/>
        </w:rPr>
      </w:pPr>
      <w:r>
        <w:rPr>
          <w:rFonts w:hint="eastAsia" w:hAnsi="Cambria Math" w:cs="宋体"/>
          <w:i w:val="0"/>
          <w:kern w:val="2"/>
          <w:sz w:val="24"/>
          <w:szCs w:val="24"/>
          <w:lang w:val="en-US" w:eastAsia="zh-CN" w:bidi="ar-SA"/>
        </w:rPr>
        <w:t xml:space="preserve">                                               （公式一）</w:t>
      </w:r>
    </w:p>
    <w:p w14:paraId="485EAC9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需要注意的是总市值单位为千元而净利润单位为元，因此需要先将净利润除以1000统一单位后再进行计算。为了避免极端值对分析结果的干扰，对计算出的</w:t>
      </w:r>
      <w:r>
        <w:rPr>
          <w:rFonts w:hint="default" w:ascii="Times New Roman" w:hAnsi="Times New Roman" w:cs="Times New Roman"/>
          <w:lang w:val="en-US" w:eastAsia="zh-CN"/>
        </w:rPr>
        <w:t>PE</w:t>
      </w:r>
      <w:r>
        <w:rPr>
          <w:rFonts w:hint="default" w:ascii="宋体" w:hAnsi="宋体" w:eastAsia="宋体" w:cs="宋体"/>
          <w:sz w:val="24"/>
          <w:szCs w:val="24"/>
          <w:lang w:val="en-US" w:eastAsia="zh-CN"/>
        </w:rPr>
        <w:t>进行异常剔除，剔除净利润小于等于零的公司</w:t>
      </w:r>
      <w:r>
        <w:rPr>
          <w:rFonts w:hint="eastAsia" w:ascii="宋体" w:hAnsi="宋体" w:cs="宋体"/>
          <w:sz w:val="24"/>
          <w:szCs w:val="24"/>
          <w:lang w:val="en-US" w:eastAsia="zh-CN"/>
        </w:rPr>
        <w:t>，</w:t>
      </w:r>
      <w:r>
        <w:rPr>
          <w:rFonts w:hint="default" w:ascii="宋体" w:hAnsi="宋体" w:eastAsia="宋体" w:cs="宋体"/>
          <w:sz w:val="24"/>
          <w:szCs w:val="24"/>
          <w:lang w:val="en-US" w:eastAsia="zh-CN"/>
        </w:rPr>
        <w:t>因为负利润会导致</w:t>
      </w:r>
      <w:r>
        <w:rPr>
          <w:rFonts w:hint="default" w:ascii="Times New Roman" w:hAnsi="Times New Roman" w:cs="Times New Roman"/>
          <w:lang w:val="en-US" w:eastAsia="zh-CN"/>
        </w:rPr>
        <w:t>PE</w:t>
      </w:r>
      <w:r>
        <w:rPr>
          <w:rFonts w:hint="default" w:ascii="宋体" w:hAnsi="宋体" w:eastAsia="宋体" w:cs="宋体"/>
          <w:sz w:val="24"/>
          <w:szCs w:val="24"/>
          <w:lang w:val="en-US" w:eastAsia="zh-CN"/>
        </w:rPr>
        <w:t>为负或无穷大，同时剔除</w:t>
      </w:r>
      <w:r>
        <w:rPr>
          <w:rFonts w:hint="default" w:ascii="Times New Roman" w:hAnsi="Times New Roman" w:cs="Times New Roman"/>
          <w:lang w:val="en-US" w:eastAsia="zh-CN"/>
        </w:rPr>
        <w:t>PE</w:t>
      </w:r>
      <w:r>
        <w:rPr>
          <w:rFonts w:hint="default" w:ascii="宋体" w:hAnsi="宋体" w:eastAsia="宋体" w:cs="宋体"/>
          <w:sz w:val="24"/>
          <w:szCs w:val="24"/>
          <w:lang w:val="en-US" w:eastAsia="zh-CN"/>
        </w:rPr>
        <w:t>大于500的极端高估值记录，最终保留</w:t>
      </w:r>
      <w:r>
        <w:rPr>
          <w:rFonts w:hint="default" w:ascii="宋体" w:hAnsi="宋体" w:eastAsia="宋体" w:cs="Times New Roman"/>
          <w:sz w:val="24"/>
          <w:szCs w:val="24"/>
          <w:lang w:val="en-US" w:eastAsia="zh-CN"/>
        </w:rPr>
        <w:t>PE</w:t>
      </w:r>
      <w:r>
        <w:rPr>
          <w:rFonts w:hint="default" w:ascii="宋体" w:hAnsi="宋体" w:eastAsia="宋体" w:cs="宋体"/>
          <w:sz w:val="24"/>
          <w:szCs w:val="24"/>
          <w:lang w:val="en-US" w:eastAsia="zh-CN"/>
        </w:rPr>
        <w:t>在0到500之间的有效数据。</w:t>
      </w:r>
    </w:p>
    <w:p w14:paraId="49647536">
      <w:pPr>
        <w:rPr>
          <w:rFonts w:hint="default" w:ascii="宋体" w:hAnsi="宋体" w:eastAsia="宋体" w:cs="宋体"/>
          <w:sz w:val="24"/>
          <w:szCs w:val="24"/>
          <w:lang w:val="en-US" w:eastAsia="zh-CN"/>
        </w:rPr>
      </w:pPr>
      <w:r>
        <w:rPr>
          <w:rFonts w:hint="eastAsia" w:ascii="宋体" w:hAnsi="宋体" w:cs="宋体"/>
          <w:sz w:val="24"/>
          <w:szCs w:val="24"/>
          <w:lang w:val="en-US" w:eastAsia="zh-CN"/>
        </w:rPr>
        <w:t>最后，</w:t>
      </w:r>
      <w:r>
        <w:rPr>
          <w:rFonts w:hint="default" w:ascii="宋体" w:hAnsi="宋体" w:eastAsia="宋体" w:cs="宋体"/>
          <w:sz w:val="24"/>
          <w:szCs w:val="24"/>
          <w:lang w:val="en-US" w:eastAsia="zh-CN"/>
        </w:rPr>
        <w:t>在行业聚合环节，按照年份和行业名称分组，计算每组</w:t>
      </w:r>
      <w:r>
        <w:rPr>
          <w:rFonts w:hint="default" w:ascii="宋体" w:hAnsi="宋体" w:eastAsia="宋体" w:cs="Times New Roman"/>
          <w:sz w:val="24"/>
          <w:szCs w:val="24"/>
          <w:lang w:val="en-US" w:eastAsia="zh-CN"/>
        </w:rPr>
        <w:t>PE</w:t>
      </w:r>
      <w:r>
        <w:rPr>
          <w:rFonts w:hint="default" w:ascii="宋体" w:hAnsi="宋体" w:eastAsia="宋体" w:cs="宋体"/>
          <w:sz w:val="24"/>
          <w:szCs w:val="24"/>
          <w:lang w:val="en-US" w:eastAsia="zh-CN"/>
        </w:rPr>
        <w:t>的中位数而非均值，采用中位数的原因是其对极端值不敏感，更能代表行业的典型估值水平。可视化阶段使用折线图展示两个行业</w:t>
      </w:r>
      <w:r>
        <w:rPr>
          <w:rFonts w:hint="default" w:ascii="Times New Roman" w:hAnsi="Times New Roman" w:cs="Times New Roman"/>
          <w:lang w:val="en-US" w:eastAsia="zh-CN"/>
        </w:rPr>
        <w:t>PE</w:t>
      </w:r>
      <w:r>
        <w:rPr>
          <w:rFonts w:hint="default" w:ascii="宋体" w:hAnsi="宋体" w:eastAsia="宋体" w:cs="宋体"/>
          <w:sz w:val="24"/>
          <w:szCs w:val="24"/>
          <w:lang w:val="en-US" w:eastAsia="zh-CN"/>
        </w:rPr>
        <w:t>中位数随年份的变化趋势，并在同一张图中对比呈现，最后将聚合结果输出为</w:t>
      </w:r>
      <w:r>
        <w:rPr>
          <w:rFonts w:hint="default" w:ascii="Times New Roman" w:hAnsi="Times New Roman" w:cs="Times New Roman"/>
          <w:lang w:val="en-US" w:eastAsia="zh-CN"/>
        </w:rPr>
        <w:t>Excel</w:t>
      </w:r>
      <w:r>
        <w:rPr>
          <w:rFonts w:hint="default" w:ascii="宋体" w:hAnsi="宋体" w:eastAsia="宋体" w:cs="宋体"/>
          <w:sz w:val="24"/>
          <w:szCs w:val="24"/>
          <w:lang w:val="en-US" w:eastAsia="zh-CN"/>
        </w:rPr>
        <w:t>文件保存，同时显示统计摘要和控制台输出。</w:t>
      </w:r>
    </w:p>
    <w:p w14:paraId="6BDF32BC">
      <w:pPr>
        <w:rPr>
          <w:rFonts w:hint="eastAsia" w:ascii="宋体" w:hAnsi="宋体" w:cs="宋体"/>
          <w:sz w:val="24"/>
          <w:szCs w:val="24"/>
          <w:lang w:val="en-US" w:eastAsia="zh-CN"/>
        </w:rPr>
      </w:pPr>
      <w:r>
        <w:rPr>
          <w:rFonts w:hint="eastAsia" w:ascii="宋体" w:hAnsi="宋体" w:cs="宋体"/>
          <w:sz w:val="24"/>
          <w:szCs w:val="24"/>
          <w:lang w:val="en-US" w:eastAsia="zh-CN"/>
        </w:rPr>
        <w:t>技术路线如下图所示。</w:t>
      </w:r>
    </w:p>
    <w:p w14:paraId="3EEB7125">
      <w:pPr>
        <w:spacing w:line="240" w:lineRule="auto"/>
        <w:jc w:val="center"/>
        <w:rPr>
          <w:rFonts w:hint="default" w:ascii="宋体" w:hAnsi="宋体" w:cs="宋体"/>
          <w:sz w:val="21"/>
          <w:szCs w:val="21"/>
          <w:lang w:val="en-US" w:eastAsia="zh-CN"/>
        </w:rPr>
      </w:pPr>
      <w:r>
        <w:rPr>
          <w:rFonts w:hint="default" w:ascii="宋体" w:hAnsi="宋体" w:cs="宋体"/>
          <w:sz w:val="21"/>
          <w:szCs w:val="21"/>
          <w:lang w:val="en-US" w:eastAsia="zh-CN"/>
        </w:rPr>
        <w:drawing>
          <wp:anchor distT="0" distB="0" distL="114300" distR="114300" simplePos="0" relativeHeight="251660288" behindDoc="0" locked="0" layoutInCell="1" allowOverlap="1">
            <wp:simplePos x="0" y="0"/>
            <wp:positionH relativeFrom="column">
              <wp:posOffset>-190500</wp:posOffset>
            </wp:positionH>
            <wp:positionV relativeFrom="paragraph">
              <wp:posOffset>32385</wp:posOffset>
            </wp:positionV>
            <wp:extent cx="5996305" cy="1278255"/>
            <wp:effectExtent l="0" t="0" r="8255" b="1905"/>
            <wp:wrapTopAndBottom/>
            <wp:docPr id="2" name="图片 2" descr="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图"/>
                    <pic:cNvPicPr>
                      <a:picLocks noChangeAspect="1"/>
                    </pic:cNvPicPr>
                  </pic:nvPicPr>
                  <pic:blipFill>
                    <a:blip r:embed="rId6"/>
                    <a:srcRect r="8919"/>
                    <a:stretch>
                      <a:fillRect/>
                    </a:stretch>
                  </pic:blipFill>
                  <pic:spPr>
                    <a:xfrm>
                      <a:off x="0" y="0"/>
                      <a:ext cx="5996305" cy="1278255"/>
                    </a:xfrm>
                    <a:prstGeom prst="rect">
                      <a:avLst/>
                    </a:prstGeom>
                  </pic:spPr>
                </pic:pic>
              </a:graphicData>
            </a:graphic>
          </wp:anchor>
        </w:drawing>
      </w:r>
      <w:r>
        <w:rPr>
          <w:rFonts w:hint="eastAsia" w:ascii="宋体" w:hAnsi="宋体" w:cs="宋体"/>
          <w:sz w:val="21"/>
          <w:szCs w:val="21"/>
          <w:lang w:val="en-US" w:eastAsia="zh-CN"/>
        </w:rPr>
        <w:t>图1  技术路线图</w:t>
      </w:r>
      <w:bookmarkStart w:id="0" w:name="_GoBack"/>
      <w:bookmarkEnd w:id="0"/>
    </w:p>
    <w:p w14:paraId="480F7984">
      <w:pPr>
        <w:pStyle w:val="3"/>
        <w:bidi w:val="0"/>
        <w:rPr>
          <w:rFonts w:hint="default"/>
          <w:lang w:val="en-US" w:eastAsia="zh-CN"/>
        </w:rPr>
      </w:pPr>
      <w:r>
        <w:rPr>
          <w:rFonts w:hint="eastAsia"/>
          <w:lang w:val="en-US" w:eastAsia="zh-CN"/>
        </w:rPr>
        <w:t>二、</w:t>
      </w:r>
      <w:r>
        <w:t>分析数据结果</w:t>
      </w:r>
    </w:p>
    <w:p w14:paraId="1C5B150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基于1994年至2025年共32年的数据，金融行业与房地产行业的市盈率（PE）中位数呈现明显的周期性波动特征。房地产行业PE在20.62至84.26之间波动，金融行业PE在14.67至80.92之间波动</w:t>
      </w:r>
      <w:r>
        <w:rPr>
          <w:rFonts w:hint="eastAsia" w:ascii="宋体" w:hAnsi="宋体" w:cs="宋体"/>
          <w:sz w:val="24"/>
          <w:szCs w:val="24"/>
          <w:lang w:val="en-US" w:eastAsia="zh-CN"/>
        </w:rPr>
        <w:t>。</w:t>
      </w:r>
    </w:p>
    <w:p w14:paraId="21559A4B">
      <w:pP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default" w:ascii="宋体" w:hAnsi="宋体" w:eastAsia="宋体" w:cs="宋体"/>
          <w:b/>
          <w:bCs/>
          <w:sz w:val="24"/>
          <w:szCs w:val="24"/>
          <w:lang w:val="en-US" w:eastAsia="zh-CN"/>
        </w:rPr>
        <w:t>核心发现</w:t>
      </w:r>
    </w:p>
    <w:p w14:paraId="018415E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估值水平整体下移趋势</w:t>
      </w:r>
    </w:p>
    <w:p w14:paraId="1D34846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两个行业的PE中枢在2000年后显著低于1990年代末期。2000年两个行业PE均达到历史高位（房地产76.76，金融71.74），随后整体呈现波动下行态势，2020年后稳定在15-35区间。这反映了中国资本市场逐步成熟、投资者趋于理性的长期趋势。</w:t>
      </w:r>
    </w:p>
    <w:p w14:paraId="004DAD2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行业估值轮动特征明显</w:t>
      </w:r>
    </w:p>
    <w:p w14:paraId="6A0BF9A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1994-2001年：金融行业估值持续高于房地产，2001年金融PE达80.92，房地产为67.34，金融溢价约20%。</w:t>
      </w:r>
    </w:p>
    <w:p w14:paraId="1F1C3E9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2002-2014年：两个行业估值交替领先，差距收窄。2007年房地产PE达84.26超过金融（68.52），2008年金融危机后两者均大幅回落。</w:t>
      </w:r>
    </w:p>
    <w:p w14:paraId="7464DAF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015-2025年：房地产估值持续高于金融。2015年房地产PE为44.76，金融仅20.74，房地产溢价高达116%；2025年房地产PE为41.82，金融为21.45，房地产仍溢价95%。</w:t>
      </w:r>
    </w:p>
    <w:p w14:paraId="3EF5362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关键年份解读</w:t>
      </w:r>
    </w:p>
    <w:p w14:paraId="6385579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2007年：A股大牛市顶点，房地产作为牛市龙头估值创历史新高</w:t>
      </w:r>
    </w:p>
    <w:p w14:paraId="3F72DB4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2008年：金融危机爆发，两行业估值腰斩</w:t>
      </w:r>
    </w:p>
    <w:p w14:paraId="7A6E67C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2015年：杠杆牛市后房地产估值反弹，金融持续低迷</w:t>
      </w:r>
    </w:p>
    <w:p w14:paraId="4D2BAD0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2021-2025年：房地产估值稳定在金融的1.5-2倍区间</w:t>
      </w:r>
    </w:p>
    <w:p w14:paraId="7552A38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近期趋势（2020-2025年）</w:t>
      </w:r>
    </w:p>
    <w:p w14:paraId="436231D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2020年两行业PE趋同（20.86 vs 21.41），随后分化加剧。房地产PE从2020年的20.86回升至2025年的41.82，五年涨幅100%；金融PE则从21.41降至2022年低点14.67，2025年小幅回升至21.45，基本持平。这一分化反映了近年来房地产市场政策宽松预期与金融行业面临息差收窄、资产质量压力的不同基本面。</w:t>
      </w:r>
    </w:p>
    <w:p w14:paraId="41BBDB04">
      <w:pPr>
        <w:ind w:left="0" w:leftChars="0"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表2  统计摘要</w:t>
      </w:r>
    </w:p>
    <w:tbl>
      <w:tblPr>
        <w:tblW w:w="832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83"/>
        <w:gridCol w:w="2925"/>
        <w:gridCol w:w="3720"/>
      </w:tblGrid>
      <w:tr w14:paraId="34CAE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0" w:hRule="atLeast"/>
        </w:trPr>
        <w:tc>
          <w:tcPr>
            <w:tcW w:w="1683" w:type="dxa"/>
            <w:tcBorders>
              <w:top w:val="single" w:color="000000" w:sz="12" w:space="0"/>
              <w:left w:val="nil"/>
              <w:bottom w:val="single" w:color="000000" w:sz="4" w:space="0"/>
              <w:right w:val="nil"/>
              <w:tl2br w:val="nil"/>
            </w:tcBorders>
            <w:shd w:val="clear" w:color="auto" w:fill="FFFFFF"/>
            <w:vAlign w:val="center"/>
          </w:tcPr>
          <w:p w14:paraId="40FAC67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指标</w:t>
            </w:r>
          </w:p>
        </w:tc>
        <w:tc>
          <w:tcPr>
            <w:tcW w:w="2925" w:type="dxa"/>
            <w:tcBorders>
              <w:top w:val="single" w:color="000000" w:sz="12" w:space="0"/>
              <w:left w:val="nil"/>
              <w:bottom w:val="single" w:color="000000" w:sz="4" w:space="0"/>
              <w:right w:val="nil"/>
            </w:tcBorders>
            <w:shd w:val="clear" w:color="auto" w:fill="FFFFFF"/>
            <w:vAlign w:val="center"/>
          </w:tcPr>
          <w:p w14:paraId="1A051DA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房地产行业</w:t>
            </w:r>
          </w:p>
        </w:tc>
        <w:tc>
          <w:tcPr>
            <w:tcW w:w="3720" w:type="dxa"/>
            <w:tcBorders>
              <w:top w:val="single" w:color="000000" w:sz="12" w:space="0"/>
              <w:left w:val="nil"/>
              <w:bottom w:val="single" w:color="000000" w:sz="4" w:space="0"/>
              <w:right w:val="nil"/>
            </w:tcBorders>
            <w:shd w:val="clear" w:color="auto" w:fill="FFFFFF"/>
            <w:vAlign w:val="center"/>
          </w:tcPr>
          <w:p w14:paraId="5C4227A6">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金融行业</w:t>
            </w:r>
          </w:p>
        </w:tc>
      </w:tr>
      <w:tr w14:paraId="4ADAA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683" w:type="dxa"/>
            <w:tcBorders>
              <w:top w:val="single" w:color="000000" w:sz="4" w:space="0"/>
              <w:left w:val="nil"/>
              <w:bottom w:val="nil"/>
              <w:right w:val="nil"/>
            </w:tcBorders>
            <w:shd w:val="clear" w:color="auto" w:fill="FFFFFF"/>
            <w:vAlign w:val="center"/>
          </w:tcPr>
          <w:p w14:paraId="62B0A9D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平均值</w:t>
            </w:r>
          </w:p>
        </w:tc>
        <w:tc>
          <w:tcPr>
            <w:tcW w:w="2925" w:type="dxa"/>
            <w:tcBorders>
              <w:top w:val="single" w:color="000000" w:sz="4" w:space="0"/>
              <w:left w:val="nil"/>
              <w:bottom w:val="nil"/>
              <w:right w:val="nil"/>
            </w:tcBorders>
            <w:shd w:val="clear" w:color="auto" w:fill="FFFFFF"/>
            <w:vAlign w:val="center"/>
          </w:tcPr>
          <w:p w14:paraId="2E04271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41.35</w:t>
            </w:r>
          </w:p>
        </w:tc>
        <w:tc>
          <w:tcPr>
            <w:tcW w:w="3720" w:type="dxa"/>
            <w:tcBorders>
              <w:top w:val="single" w:color="000000" w:sz="4" w:space="0"/>
              <w:left w:val="nil"/>
              <w:bottom w:val="nil"/>
              <w:right w:val="nil"/>
            </w:tcBorders>
            <w:shd w:val="clear" w:color="auto" w:fill="FFFFFF"/>
            <w:vAlign w:val="center"/>
          </w:tcPr>
          <w:p w14:paraId="712EE8D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39.18</w:t>
            </w:r>
          </w:p>
        </w:tc>
      </w:tr>
      <w:tr w14:paraId="29F38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1683" w:type="dxa"/>
            <w:tcBorders>
              <w:top w:val="nil"/>
              <w:left w:val="nil"/>
              <w:bottom w:val="nil"/>
              <w:right w:val="nil"/>
            </w:tcBorders>
            <w:shd w:val="clear" w:color="auto" w:fill="FFFFFF"/>
            <w:vAlign w:val="center"/>
          </w:tcPr>
          <w:p w14:paraId="182A0F0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中位数</w:t>
            </w:r>
          </w:p>
        </w:tc>
        <w:tc>
          <w:tcPr>
            <w:tcW w:w="2925" w:type="dxa"/>
            <w:tcBorders>
              <w:top w:val="nil"/>
              <w:left w:val="nil"/>
              <w:bottom w:val="nil"/>
              <w:right w:val="nil"/>
            </w:tcBorders>
            <w:shd w:val="clear" w:color="auto" w:fill="FFFFFF"/>
            <w:vAlign w:val="center"/>
          </w:tcPr>
          <w:p w14:paraId="4083F3A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41.82</w:t>
            </w:r>
          </w:p>
        </w:tc>
        <w:tc>
          <w:tcPr>
            <w:tcW w:w="3720" w:type="dxa"/>
            <w:tcBorders>
              <w:top w:val="nil"/>
              <w:left w:val="nil"/>
              <w:bottom w:val="nil"/>
              <w:right w:val="nil"/>
            </w:tcBorders>
            <w:shd w:val="clear" w:color="auto" w:fill="FFFFFF"/>
            <w:vAlign w:val="center"/>
          </w:tcPr>
          <w:p w14:paraId="53A9B9F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33.54</w:t>
            </w:r>
          </w:p>
        </w:tc>
      </w:tr>
      <w:tr w14:paraId="02E57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1683" w:type="dxa"/>
            <w:tcBorders>
              <w:top w:val="nil"/>
              <w:left w:val="nil"/>
              <w:bottom w:val="nil"/>
              <w:right w:val="nil"/>
            </w:tcBorders>
            <w:shd w:val="clear" w:color="auto" w:fill="FFFFFF"/>
            <w:vAlign w:val="center"/>
          </w:tcPr>
          <w:p w14:paraId="0E99C46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最大值</w:t>
            </w:r>
          </w:p>
        </w:tc>
        <w:tc>
          <w:tcPr>
            <w:tcW w:w="2925" w:type="dxa"/>
            <w:tcBorders>
              <w:top w:val="nil"/>
              <w:left w:val="nil"/>
              <w:bottom w:val="nil"/>
              <w:right w:val="nil"/>
            </w:tcBorders>
            <w:shd w:val="clear" w:color="auto" w:fill="FFFFFF"/>
            <w:vAlign w:val="center"/>
          </w:tcPr>
          <w:p w14:paraId="7051407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84.26（2007年）</w:t>
            </w:r>
          </w:p>
        </w:tc>
        <w:tc>
          <w:tcPr>
            <w:tcW w:w="3720" w:type="dxa"/>
            <w:tcBorders>
              <w:top w:val="nil"/>
              <w:left w:val="nil"/>
              <w:bottom w:val="nil"/>
              <w:right w:val="nil"/>
            </w:tcBorders>
            <w:shd w:val="clear" w:color="auto" w:fill="FFFFFF"/>
            <w:vAlign w:val="center"/>
          </w:tcPr>
          <w:p w14:paraId="567F146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80.92（2001年）</w:t>
            </w:r>
          </w:p>
        </w:tc>
      </w:tr>
      <w:tr w14:paraId="23A3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3" w:hRule="atLeast"/>
        </w:trPr>
        <w:tc>
          <w:tcPr>
            <w:tcW w:w="1683" w:type="dxa"/>
            <w:tcBorders>
              <w:top w:val="nil"/>
              <w:left w:val="nil"/>
              <w:bottom w:val="single" w:color="000000" w:sz="12" w:space="0"/>
              <w:right w:val="nil"/>
            </w:tcBorders>
            <w:shd w:val="clear" w:color="auto" w:fill="FFFFFF"/>
            <w:vAlign w:val="center"/>
          </w:tcPr>
          <w:p w14:paraId="798936A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最小值</w:t>
            </w:r>
          </w:p>
        </w:tc>
        <w:tc>
          <w:tcPr>
            <w:tcW w:w="2925" w:type="dxa"/>
            <w:tcBorders>
              <w:top w:val="nil"/>
              <w:left w:val="nil"/>
              <w:bottom w:val="single" w:color="000000" w:sz="12" w:space="0"/>
              <w:right w:val="nil"/>
            </w:tcBorders>
            <w:shd w:val="clear" w:color="auto" w:fill="FFFFFF"/>
            <w:vAlign w:val="center"/>
          </w:tcPr>
          <w:p w14:paraId="52164DA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20.62（2011年）</w:t>
            </w:r>
          </w:p>
        </w:tc>
        <w:tc>
          <w:tcPr>
            <w:tcW w:w="3720" w:type="dxa"/>
            <w:tcBorders>
              <w:top w:val="nil"/>
              <w:left w:val="nil"/>
              <w:bottom w:val="single" w:color="000000" w:sz="12" w:space="0"/>
              <w:right w:val="nil"/>
            </w:tcBorders>
            <w:shd w:val="clear" w:color="auto" w:fill="FFFFFF"/>
            <w:vAlign w:val="center"/>
          </w:tcPr>
          <w:p w14:paraId="333818BF">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bdr w:val="none" w:color="auto" w:sz="0" w:space="0"/>
                <w:lang w:val="en-US" w:eastAsia="zh-CN" w:bidi="ar"/>
              </w:rPr>
              <w:t>14.67（2022年）</w:t>
            </w:r>
          </w:p>
        </w:tc>
      </w:tr>
    </w:tbl>
    <w:p w14:paraId="19A0254A">
      <w:pP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default" w:ascii="宋体" w:hAnsi="宋体" w:eastAsia="宋体" w:cs="宋体"/>
          <w:b/>
          <w:bCs/>
          <w:sz w:val="24"/>
          <w:szCs w:val="24"/>
          <w:lang w:val="en-US" w:eastAsia="zh-CN"/>
        </w:rPr>
        <w:t>结论</w:t>
      </w:r>
    </w:p>
    <w:p w14:paraId="669CA47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1994-2025年间，金融与房地产行业PE呈现“早年金融占优→中期交替领先→近年房地产持续溢价”的三阶段演变特征。2008年前两行业估值水平接近，2008年后房地产估值中枢逐渐超越金融，2020年以来两者差距进一步扩大至历史高位。当前房地产PE约为金融的2倍，反映了市场对房地产行业政策预期改善的定价，以及对金融行业增长放缓的担忧。</w:t>
      </w:r>
    </w:p>
    <w:p w14:paraId="0964479C">
      <w:pPr>
        <w:rPr>
          <w:rFonts w:hint="eastAsia" w:ascii="宋体" w:hAnsi="宋体" w:cs="宋体"/>
          <w:sz w:val="24"/>
          <w:szCs w:val="24"/>
          <w:lang w:val="en-US" w:eastAsia="zh-CN"/>
        </w:rPr>
      </w:pPr>
      <w:r>
        <w:rPr>
          <w:rFonts w:hint="eastAsia" w:ascii="宋体" w:hAnsi="宋体" w:cs="宋体"/>
          <w:sz w:val="24"/>
          <w:szCs w:val="24"/>
          <w:lang w:val="en-US" w:eastAsia="zh-CN"/>
        </w:rPr>
        <w:t>行业PE对比图如下。</w:t>
      </w:r>
    </w:p>
    <w:p w14:paraId="5D88B573">
      <w:pPr>
        <w:spacing w:line="240" w:lineRule="auto"/>
        <w:ind w:firstLine="1920" w:firstLineChars="800"/>
        <w:rPr>
          <w:rFonts w:hint="default" w:ascii="宋体" w:hAnsi="宋体" w:cs="宋体"/>
          <w:sz w:val="21"/>
          <w:szCs w:val="21"/>
          <w:lang w:val="en-US" w:eastAsia="zh-CN"/>
        </w:rPr>
      </w:pPr>
      <w:r>
        <w:rPr>
          <w:rFonts w:hint="default" w:ascii="宋体" w:hAnsi="宋体" w:cs="宋体"/>
          <w:sz w:val="24"/>
          <w:szCs w:val="24"/>
          <w:lang w:val="en-US" w:eastAsia="zh-CN"/>
        </w:rPr>
        <w:drawing>
          <wp:anchor distT="0" distB="0" distL="114300" distR="114300" simplePos="0" relativeHeight="251659264" behindDoc="0" locked="0" layoutInCell="1" allowOverlap="1">
            <wp:simplePos x="0" y="0"/>
            <wp:positionH relativeFrom="column">
              <wp:posOffset>-713740</wp:posOffset>
            </wp:positionH>
            <wp:positionV relativeFrom="paragraph">
              <wp:posOffset>104775</wp:posOffset>
            </wp:positionV>
            <wp:extent cx="6558915" cy="3280410"/>
            <wp:effectExtent l="0" t="0" r="9525" b="11430"/>
            <wp:wrapTopAndBottom/>
            <wp:docPr id="1" name="图片 1" descr="0001vs0003行业市盈率对比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001vs0003行业市盈率对比趋势"/>
                    <pic:cNvPicPr>
                      <a:picLocks noChangeAspect="1"/>
                    </pic:cNvPicPr>
                  </pic:nvPicPr>
                  <pic:blipFill>
                    <a:blip r:embed="rId7"/>
                    <a:stretch>
                      <a:fillRect/>
                    </a:stretch>
                  </pic:blipFill>
                  <pic:spPr>
                    <a:xfrm>
                      <a:off x="0" y="0"/>
                      <a:ext cx="6558915" cy="3280410"/>
                    </a:xfrm>
                    <a:prstGeom prst="rect">
                      <a:avLst/>
                    </a:prstGeom>
                  </pic:spPr>
                </pic:pic>
              </a:graphicData>
            </a:graphic>
          </wp:anchor>
        </w:drawing>
      </w:r>
      <w:r>
        <w:rPr>
          <w:rFonts w:hint="eastAsia" w:ascii="宋体" w:hAnsi="宋体" w:cs="宋体"/>
          <w:sz w:val="21"/>
          <w:szCs w:val="21"/>
          <w:lang w:val="en-US" w:eastAsia="zh-CN"/>
        </w:rPr>
        <w:t>图2  金融行业与房地产行业的市盈率对比趋势图</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中文正">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中文">
    <w:altName w:val="ksdb"/>
    <w:panose1 w:val="00000000000000000000"/>
    <w:charset w:val="00"/>
    <w:family w:val="auto"/>
    <w:pitch w:val="default"/>
    <w:sig w:usb0="00000000" w:usb1="00000000" w:usb2="00000000" w:usb3="00000000" w:csb0="00000000" w:csb1="00000000"/>
  </w:font>
  <w:font w:name="+中">
    <w:altName w:val="ksdb"/>
    <w:panose1 w:val="00000000000000000000"/>
    <w:charset w:val="00"/>
    <w:family w:val="auto"/>
    <w:pitch w:val="default"/>
    <w:sig w:usb0="00000000" w:usb1="00000000" w:usb2="00000000" w:usb3="00000000" w:csb0="00000000" w:csb1="00000000"/>
  </w:font>
  <w:font w:name="+">
    <w:altName w:val="ksdb"/>
    <w:panose1 w:val="00000000000000000000"/>
    <w:charset w:val="00"/>
    <w:family w:val="auto"/>
    <w:pitch w:val="default"/>
    <w:sig w:usb0="00000000" w:usb1="00000000" w:usb2="00000000" w:usb3="00000000" w:csb0="00000000" w:csb1="00000000"/>
  </w:font>
  <w:font w:name="给他">
    <w:altName w:val="ksdb"/>
    <w:panose1 w:val="00000000000000000000"/>
    <w:charset w:val="00"/>
    <w:family w:val="auto"/>
    <w:pitch w:val="default"/>
    <w:sig w:usb0="00000000" w:usb1="00000000" w:usb2="00000000" w:usb3="00000000" w:csb0="00000000" w:csb1="00000000"/>
  </w:font>
  <w:font w:name="给">
    <w:altName w:val="ksdb"/>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宋">
    <w:altName w:val="宋体"/>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 w:name="new">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Reference Specialty">
    <w:panose1 w:val="050005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9D3570"/>
    <w:rsid w:val="25C94365"/>
    <w:rsid w:val="2C6756DF"/>
    <w:rsid w:val="53FA54A1"/>
    <w:rsid w:val="7E626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400" w:lineRule="exact"/>
      <w:jc w:val="center"/>
      <w:outlineLvl w:val="0"/>
    </w:pPr>
    <w:rPr>
      <w:rFonts w:eastAsia="黑体" w:asciiTheme="minorAscii" w:hAnsiTheme="minorAscii"/>
      <w:b/>
      <w:kern w:val="44"/>
      <w:sz w:val="36"/>
    </w:rPr>
  </w:style>
  <w:style w:type="paragraph" w:styleId="3">
    <w:name w:val="heading 2"/>
    <w:basedOn w:val="1"/>
    <w:next w:val="1"/>
    <w:unhideWhenUsed/>
    <w:qFormat/>
    <w:uiPriority w:val="0"/>
    <w:pPr>
      <w:keepNext/>
      <w:keepLines/>
      <w:spacing w:beforeLines="0" w:beforeAutospacing="0" w:afterLines="0" w:afterAutospacing="0" w:line="400" w:lineRule="exact"/>
      <w:jc w:val="center"/>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100</Words>
  <Characters>148</Characters>
  <Lines>0</Lines>
  <Paragraphs>0</Paragraphs>
  <TotalTime>7</TotalTime>
  <ScaleCrop>false</ScaleCrop>
  <LinksUpToDate>false</LinksUpToDate>
  <CharactersWithSpaces>148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2026-04-18T02:17:00Z</dcterms:created>
  <dc:creator>anshi</dc:creator>
  <cp:lastModifiedBy>全萃灵</cp:lastModifiedBy>
  <dcterms:modified xsi:type="dcterms:W3CDTF">2026-04-19T07:14:49Z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eyJoZGlkIjoiMjlhNzM2OTVhNzRkMWY5MzA1YTVjOTY5OTgxYjZjMjIiLCJ1c2VySWQiOiIxNzU1MDMxMzY2In0=</vt:lpwstr>
  </property>
  <property fmtid="{D5CDD505-2E9C-101B-9397-08002B2CF9AE}" pid="4" name="ICV">
    <vt:lpwstr>3C0AD992D851455888810C1C8E4C18E3_12</vt:lpwstr>
  </property>
</Properties>
</file>