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8300"/>
          <w:sz w:val="17"/>
        </w:rPr>
        <w:t>KIT NÃO VIRE ESTATÍSTICA · MODELO EDITÁVEL</w:t>
      </w:r>
    </w:p>
    <w:p>
      <w:pPr>
        <w:pStyle w:val="Heading1"/>
      </w:pPr>
      <w:r>
        <w:t>Termo Aditivo Contratual – Cláusula Tributária</w:t>
      </w:r>
    </w:p>
    <w:p>
      <w:r>
        <w:rPr>
          <w:color w:val="5B6576"/>
        </w:rPr>
        <w:t>Para contratos de fornecimento já assinados (indústria, agro, distribuição e B2B) que vão atravessar a transição 2027–2033.</w:t>
      </w:r>
    </w:p>
    <w:p>
      <w:pPr>
        <w:shd w:val="clear" w:color="auto" w:fill="FFF4CC"/>
      </w:pPr>
      <w:r>
        <w:rPr>
          <w:sz w:val="19"/>
        </w:rPr>
        <w:t>Como usar: troque tudo o que está entre [colchetes] pelos seus dados e apague esta caixa. Modelo de referência: para valores altos ou contratos complexos, peça revisão a um advogado ou ao seu contador.</w:t>
      </w:r>
    </w:p>
    <w:p>
      <w:pPr>
        <w:jc w:val="both"/>
      </w:pPr>
      <w:r>
        <w:rPr>
          <w:b/>
        </w:rPr>
        <w:t>TERMO ADITIVO Nº [__] AO CONTRATO DE [FORNECIMENTO / PRESTAÇÃO DE SERVIÇOS] Nº [__], celebrado em [data]</w:t>
      </w:r>
    </w:p>
    <w:p>
      <w:pPr>
        <w:jc w:val="both"/>
      </w:pPr>
      <w:r>
        <w:rPr>
          <w:b w:val="0"/>
        </w:rPr>
        <w:t>Pelo presente instrumento, de um lado [RAZÃO SOCIAL], CNPJ [__], com sede em [endereço], neste ato representada por [nome, cargo], doravante CONTRATADA/FORNECEDORA; e de outro [RAZÃO SOCIAL], CNPJ [__], com sede em [endereço], neste ato representada por [nome, cargo], doravante CONTRATANTE/COMPRADORA; resolvem celebrar o presente Termo Aditivo, mediante as cláusulas seguintes:</w:t>
      </w:r>
    </w:p>
    <w:p>
      <w:r>
        <w:rPr>
          <w:b/>
        </w:rPr>
        <w:t>CLÁUSULA PRIMEIRA – DO OBJETO</w:t>
      </w:r>
    </w:p>
    <w:p>
      <w:pPr>
        <w:jc w:val="both"/>
      </w:pPr>
      <w:r>
        <w:rPr>
          <w:b w:val="0"/>
        </w:rPr>
        <w:t>O presente aditivo tem por objeto adequar o Contrato à Reforma Tributária do consumo (Emenda Constitucional nº 132/2023 e Lei Complementar nº 214/2025), estabelecendo regras de formação de preço, destaque de tributos, créditos e revisão durante o período de transição e após a sua conclusão.</w:t>
      </w:r>
    </w:p>
    <w:p>
      <w:r>
        <w:rPr>
          <w:b/>
        </w:rPr>
        <w:t>CLÁUSULA SEGUNDA – DO PREÇO LÍQUIDO E DOS TRIBUTOS</w:t>
      </w:r>
    </w:p>
    <w:p>
      <w:pPr>
        <w:jc w:val="both"/>
      </w:pPr>
      <w:r>
        <w:rPr>
          <w:b w:val="0"/>
        </w:rPr>
        <w:t>Os preços deste contrato foram fixados considerando a legislação tributária vigente na data da sua assinatura, incluindo os tributos incidentes sobre o fornecimento (PIS/Cofins, ICMS e/ou ISS, conforme o caso).</w:t>
      </w:r>
    </w:p>
    <w:p>
      <w:pPr>
        <w:jc w:val="both"/>
      </w:pPr>
      <w:r>
        <w:rPr>
          <w:b w:val="0"/>
        </w:rPr>
        <w:t>Parágrafo primeiro. A partir da entrada em vigor da Contribuição sobre Bens e Serviços (CBS) e do Imposto sobre Bens e Serviços (IBS), instituídos pela Emenda Constitucional nº 132/2023 e regulamentados pela Lei Complementar nº 214/2025, a CBS e o IBS serão destacados no documento fiscal e acrescidos ao preço líquido aqui ajustado ("cobrança por fora"), substituindo os tributos que deixarem de existir, nos percentuais e no cronograma de transição definidos em lei.</w:t>
      </w:r>
    </w:p>
    <w:p>
      <w:pPr>
        <w:jc w:val="both"/>
      </w:pPr>
      <w:r>
        <w:rPr>
          <w:b w:val="0"/>
        </w:rPr>
        <w:t>Parágrafo segundo. Para fins deste contrato, o "preço líquido" de cada item corresponde ao preço vigente na data de assinatura, deduzidos os tributos sobre o consumo nele embutidos, a saber: [__]% de PIS/Cofins e [__]% de ICMS/ISS, totalizando [__]%.</w:t>
      </w:r>
    </w:p>
    <w:p>
      <w:pPr>
        <w:jc w:val="both"/>
      </w:pPr>
      <w:r>
        <w:rPr>
          <w:b w:val="0"/>
        </w:rPr>
        <w:t>Parágrafo terceiro. Havendo criação, extinção ou alteração de tributos, alíquotas, bases de cálculo, regimes de crédito ou forma de recolhimento (inclusive o recolhimento na liquidação financeira, "split payment") que comprovadamente alterem o custo do fornecimento, as partes revisarão o preço para restabelecer o equilíbrio econômico-financeiro original, para mais ou para menos, mediante comunicação escrita com memória de cálculo e antecedência mínima de [30] dias.</w:t>
      </w:r>
    </w:p>
    <w:p>
      <w:pPr>
        <w:jc w:val="both"/>
      </w:pPr>
      <w:r>
        <w:rPr>
          <w:b w:val="0"/>
        </w:rPr>
        <w:t>Parágrafo quarto. A revisão de que trata esta cláusula não se confunde com o reajuste periódico por índice inflacionário previsto na cláusula [__], e com ele não se compensa.</w:t>
      </w:r>
    </w:p>
    <w:p>
      <w:pPr>
        <w:jc w:val="both"/>
      </w:pPr>
      <w:r>
        <w:rPr>
          <w:b w:val="0"/>
        </w:rPr>
        <w:t>Parágrafo quinto. Não havendo acordo sobre o novo preço em até [30] dias da comunicação, qualquer das partes poderá rescindir este contrato sem multa, mediante aviso prévio de [30] dias, sendo devidos os valores dos fornecimentos já realizados.</w:t>
      </w:r>
    </w:p>
    <w:p>
      <w:r>
        <w:rPr>
          <w:b/>
        </w:rPr>
        <w:t>CLÁUSULA TERCEIRA – DOS CRÉDITOS E DOCUMENTOS FISCAIS</w:t>
      </w:r>
    </w:p>
    <w:p>
      <w:pPr>
        <w:jc w:val="both"/>
      </w:pPr>
      <w:r>
        <w:rPr>
          <w:b w:val="0"/>
        </w:rPr>
        <w:t>A FORNECEDORA compromete-se a emitir documento fiscal idôneo, com destaque correto da CBS e do IBS, e a manter-se regular perante o fisco, de modo a viabilizar a apropriação de créditos pela COMPRADORA nos termos da LC 214/2025.</w:t>
      </w:r>
    </w:p>
    <w:p>
      <w:pPr>
        <w:jc w:val="both"/>
      </w:pPr>
      <w:r>
        <w:rPr>
          <w:b w:val="0"/>
        </w:rPr>
        <w:t>Parágrafo único. Caso a FORNECEDORA altere o seu regime tributário (por exemplo, opção ou desistência do recolhimento de IBS/CBS pelo regime regular, sendo optante do Simples Nacional) de forma que modifique o crédito apropriável pela COMPRADORA, deverá comunicá-lo por escrito com antecedência mínima de [60] dias, facultada às partes a revisão do preço nos termos da Cláusula Segunda.</w:t>
      </w:r>
    </w:p>
    <w:p>
      <w:r>
        <w:rPr>
          <w:b/>
        </w:rPr>
        <w:t>CLÁUSULA QUARTA – DO RECOLHIMENTO NA LIQUIDAÇÃO FINANCEIRA (SPLIT PAYMENT)</w:t>
      </w:r>
    </w:p>
    <w:p>
      <w:pPr>
        <w:jc w:val="both"/>
      </w:pPr>
      <w:r>
        <w:rPr>
          <w:b w:val="0"/>
        </w:rPr>
        <w:t>As partes reconhecem que, quando implantado o recolhimento da CBS e do IBS na liquidação financeira, parte do valor pago poderá ser segregada e recolhida diretamente ao fisco. Os prazos de pagamento e as formas de liquidação deste Contrato serão mantidos, e eventuais ajustes operacionais (meios de pagamento, boletos, conciliação) serão acordados por escrito sem alteração do preço líquido.</w:t>
      </w:r>
    </w:p>
    <w:p>
      <w:r>
        <w:rPr>
          <w:b/>
        </w:rPr>
        <w:t>CLÁUSULA QUINTA – DO PRAZO DE TRANSIÇÃO</w:t>
      </w:r>
    </w:p>
    <w:p>
      <w:pPr>
        <w:jc w:val="both"/>
      </w:pPr>
      <w:r>
        <w:rPr>
          <w:b w:val="0"/>
        </w:rPr>
        <w:t>As regras deste aditivo aplicam-se a todos os fornecimentos cujo fato gerador ocorra a partir de [01/01/2027], inclusive nos anos de transição (2027 a 2032) e após a extinção do ICMS e do ISS (2033).</w:t>
      </w:r>
    </w:p>
    <w:p>
      <w:r>
        <w:rPr>
          <w:b/>
        </w:rPr>
        <w:t>CLÁUSULA SEXTA – DA RATIFICAÇÃO</w:t>
      </w:r>
    </w:p>
    <w:p>
      <w:pPr>
        <w:jc w:val="both"/>
      </w:pPr>
      <w:r>
        <w:rPr>
          <w:b w:val="0"/>
        </w:rPr>
        <w:t>Permanecem inalteradas e em pleno vigor as demais cláusulas do Contrato que não conflitem com este aditivo.</w:t>
      </w:r>
    </w:p>
    <w:p>
      <w:pPr>
        <w:jc w:val="both"/>
      </w:pPr>
      <w:r>
        <w:rPr>
          <w:b w:val="0"/>
        </w:rPr>
        <w:t>E, por estarem justas e acordadas, as partes assinam o presente em [2] vias de igual teor, ou eletronicamente.</w:t>
      </w:r>
    </w:p>
    <w:p/>
    <w:p>
      <w:r>
        <w:rPr>
          <w:b w:val="0"/>
        </w:rPr>
        <w:t>[Cidade], [dia] de [mês] de [ano].</w:t>
      </w:r>
    </w:p>
    <w:p/>
    <w:p>
      <w:r>
        <w:t>_____________________________________________</w:t>
      </w:r>
    </w:p>
    <w:p>
      <w:r>
        <w:t>[CONTRATANTE / COMPRADORA]</w:t>
        <w:br/>
        <w:t>Nome / CPF ou CNPJ</w:t>
      </w:r>
    </w:p>
    <w:p/>
    <w:p>
      <w:r>
        <w:t>_____________________________________________</w:t>
      </w:r>
    </w:p>
    <w:p>
      <w:r>
        <w:t>[CONTRATADA / FORNECEDORA]</w:t>
        <w:br/>
        <w:t>Nome / CPF ou CNPJ</w:t>
      </w:r>
    </w:p>
    <w:p/>
    <w:p>
      <w:pPr>
        <w:jc w:val="both"/>
      </w:pPr>
      <w:r>
        <w:rPr>
          <w:b/>
        </w:rPr>
        <w:t>Testemunhas:</w:t>
      </w:r>
    </w:p>
    <w:p>
      <w:r>
        <w:t>1. ____________________________  CPF: ______________</w:t>
        <w:br/>
        <w:t>2. ____________________________  CPF: ______________</w:t>
      </w:r>
    </w:p>
    <w:p>
      <w:r>
        <w:br w:type="page"/>
      </w:r>
    </w:p>
    <w:p>
      <w:pPr>
        <w:pStyle w:val="Heading2"/>
      </w:pPr>
      <w:r>
        <w:t>Anexo I – Memória de preço líquido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Item / código (NCM)</w:t>
            </w:r>
          </w:p>
        </w:tc>
        <w:tc>
          <w:tcPr>
            <w:tcW w:type="dxa" w:w="1624"/>
          </w:tcPr>
          <w:p>
            <w:r>
              <w:t>Preço atual</w:t>
            </w:r>
          </w:p>
        </w:tc>
        <w:tc>
          <w:tcPr>
            <w:tcW w:type="dxa" w:w="1624"/>
          </w:tcPr>
          <w:p>
            <w:r>
              <w:t>Tributos embutidos %</w:t>
            </w:r>
          </w:p>
        </w:tc>
        <w:tc>
          <w:tcPr>
            <w:tcW w:type="dxa" w:w="1624"/>
          </w:tcPr>
          <w:p>
            <w:r>
              <w:t>Preço líquido</w:t>
            </w:r>
          </w:p>
        </w:tc>
        <w:tc>
          <w:tcPr>
            <w:tcW w:type="dxa" w:w="1624"/>
          </w:tcPr>
          <w:p>
            <w:r>
              <w:t>CBS/IBS a partir de 2027 %</w:t>
            </w:r>
          </w:p>
        </w:tc>
        <w:tc>
          <w:tcPr>
            <w:tcW w:type="dxa" w:w="1624"/>
          </w:tcPr>
          <w:p>
            <w:r>
              <w:t>Preço com CBS/IBS</w:t>
            </w:r>
          </w:p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</w:tbl>
    <w:p>
      <w:pPr>
        <w:shd w:val="clear" w:color="auto" w:fill="FFF4CC"/>
      </w:pPr>
      <w:r>
        <w:rPr>
          <w:sz w:val="19"/>
        </w:rPr>
        <w:t>Dica: use o simulador Preço 2027 do app ou a aba Preço 2027 do Painel para preencher este anexo.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8AD"/>
        <w:sz w:val="16"/>
      </w:rPr>
      <w:t>Modelo de referência · Kit Não Vire Estatística · não substitui orientação jurídica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2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2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