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8300"/>
          <w:sz w:val="17"/>
        </w:rPr>
        <w:t>KIT NÃO VIRE ESTATÍSTICA · MODELO EDITÁVEL</w:t>
      </w:r>
    </w:p>
    <w:p>
      <w:pPr>
        <w:pStyle w:val="Heading1"/>
      </w:pPr>
      <w:r>
        <w:t>Cláusula de Reajuste Tributário para Contratos de Serviços</w:t>
      </w:r>
    </w:p>
    <w:p>
      <w:r>
        <w:rPr>
          <w:color w:val="5B6576"/>
        </w:rPr>
        <w:t>Para incluir em contratos e propostas novos e em renovações (consultorias, agências, clínicas, escolas, TI, manutenção e serviços recorrentes).</w:t>
      </w:r>
    </w:p>
    <w:p>
      <w:pPr>
        <w:shd w:val="clear" w:color="auto" w:fill="FFF4CC"/>
      </w:pPr>
      <w:r>
        <w:rPr>
          <w:sz w:val="19"/>
        </w:rPr>
        <w:t>Como usar: troque tudo o que está entre [colchetes] pelos seus dados e apague esta caixa. Modelo de referência: para valores altos ou contratos complexos, peça revisão a um advogado ou ao seu contador.</w:t>
      </w:r>
    </w:p>
    <w:p>
      <w:pPr>
        <w:pStyle w:val="Heading2"/>
      </w:pPr>
      <w:r>
        <w:t>Por que usar</w:t>
      </w:r>
    </w:p>
    <w:p>
      <w:pPr>
        <w:jc w:val="both"/>
      </w:pPr>
      <w:r>
        <w:rPr>
          <w:b w:val="0"/>
        </w:rPr>
        <w:t>Em 2027 a CBS substitui o PIS/Cofins e, de 2029 a 2033, o IBS substitui gradualmente o ISS. Contratos longos assinados agora vão atravessar essa mudança. Sem uma cláusula, mudar o preço depende só da boa vontade do cliente. Com ela, a revisão é um direito das duas partes, para mais ou para menos, com regra clara.</w:t>
      </w:r>
    </w:p>
    <w:p>
      <w:pPr>
        <w:pStyle w:val="Heading2"/>
      </w:pPr>
      <w:r>
        <w:t>Versão A · Cláusula completa (contratos acima de 6 meses)</w:t>
      </w:r>
    </w:p>
    <w:p>
      <w:r>
        <w:rPr>
          <w:b/>
        </w:rPr>
        <w:t>CLÁUSULA [__] – DOS TRIBUTOS E DA REVISÃO POR ALTERAÇÃO TRIBUTÁRIA</w:t>
      </w:r>
    </w:p>
    <w:p>
      <w:pPr>
        <w:jc w:val="both"/>
      </w:pPr>
      <w:r>
        <w:rPr>
          <w:b w:val="0"/>
        </w:rPr>
        <w:t>Os preços deste contrato foram fixados considerando a legislação tributária vigente na data da sua assinatura, incluindo os tributos incidentes sobre o fornecimento (PIS/Cofins, ICMS e/ou ISS, conforme o caso).</w:t>
      </w:r>
    </w:p>
    <w:p>
      <w:pPr>
        <w:jc w:val="both"/>
      </w:pPr>
      <w:r>
        <w:rPr>
          <w:b w:val="0"/>
        </w:rPr>
        <w:t>Parágrafo primeiro. A partir da entrada em vigor da Contribuição sobre Bens e Serviços (CBS) e do Imposto sobre Bens e Serviços (IBS), instituídos pela Emenda Constitucional nº 132/2023 e regulamentados pela Lei Complementar nº 214/2025, a CBS e o IBS serão destacados no documento fiscal e acrescidos ao preço líquido aqui ajustado ("cobrança por fora"), substituindo os tributos que deixarem de existir, nos percentuais e no cronograma de transição definidos em lei.</w:t>
      </w:r>
    </w:p>
    <w:p>
      <w:pPr>
        <w:jc w:val="both"/>
      </w:pPr>
      <w:r>
        <w:rPr>
          <w:b w:val="0"/>
        </w:rPr>
        <w:t>Parágrafo segundo. Para fins deste contrato, o "preço líquido" de cada item corresponde ao preço vigente na data de assinatura, deduzidos os tributos sobre o consumo nele embutidos, a saber: [__]% de PIS/Cofins e [__]% de ICMS/ISS, totalizando [__]%.</w:t>
      </w:r>
    </w:p>
    <w:p>
      <w:pPr>
        <w:jc w:val="both"/>
      </w:pPr>
      <w:r>
        <w:rPr>
          <w:b w:val="0"/>
        </w:rPr>
        <w:t>Parágrafo terceiro. Havendo criação, extinção ou alteração de tributos, alíquotas, bases de cálculo, regimes de crédito ou forma de recolhimento (inclusive o recolhimento na liquidação financeira, "split payment") que comprovadamente alterem o custo do fornecimento, as partes revisarão o preço para restabelecer o equilíbrio econômico-financeiro original, para mais ou para menos, mediante comunicação escrita com memória de cálculo e antecedência mínima de [30] dias.</w:t>
      </w:r>
    </w:p>
    <w:p>
      <w:pPr>
        <w:jc w:val="both"/>
      </w:pPr>
      <w:r>
        <w:rPr>
          <w:b w:val="0"/>
        </w:rPr>
        <w:t>Parágrafo quarto. A revisão de que trata esta cláusula não se confunde com o reajuste periódico por índice inflacionário previsto na cláusula [__], e com ele não se compensa.</w:t>
      </w:r>
    </w:p>
    <w:p>
      <w:pPr>
        <w:jc w:val="both"/>
      </w:pPr>
      <w:r>
        <w:rPr>
          <w:b w:val="0"/>
        </w:rPr>
        <w:t>Parágrafo quinto. Não havendo acordo sobre o novo preço em até [30] dias da comunicação, qualquer das partes poderá rescindir este contrato sem multa, mediante aviso prévio de [30] dias, sendo devidos os valores dos fornecimentos já realizados.</w:t>
      </w:r>
    </w:p>
    <w:p>
      <w:pPr>
        <w:pStyle w:val="Heading2"/>
      </w:pPr>
      <w:r>
        <w:t>Versão B · Cláusula curta (propostas e contratos simples)</w:t>
      </w:r>
    </w:p>
    <w:p>
      <w:pPr>
        <w:jc w:val="both"/>
      </w:pPr>
      <w:r>
        <w:rPr>
          <w:b w:val="0"/>
        </w:rPr>
        <w:t>Os valores desta proposta consideram os tributos vigentes em [data]. A partir de 2027, a CBS e o IBS (EC 132/2023 e LC 214/2025) serão destacados na nota fiscal e somados ao valor líquido do serviço, em substituição ao PIS/Cofins e ao ISS, conforme o cronograma legal. Qualquer outra alteração tributária que mude o custo do serviço permitirá a revisão do preço, para mais ou para menos, mediante aviso com [30] dias de antecedência.</w:t>
      </w:r>
    </w:p>
    <w:p>
      <w:pPr>
        <w:pStyle w:val="Heading2"/>
      </w:pPr>
      <w:r>
        <w:t>Versão C · Texto para rodapé de orçamento</w:t>
      </w:r>
    </w:p>
    <w:p>
      <w:pPr>
        <w:jc w:val="both"/>
      </w:pPr>
      <w:r>
        <w:rPr>
          <w:b w:val="0"/>
        </w:rPr>
        <w:t>Valores com tributos vigentes em [data]. Sujeitos a revisão conforme a Reforma Tributária (CBS/IBS a partir de 2027).</w:t>
      </w:r>
    </w:p>
    <w:p>
      <w:pPr>
        <w:pStyle w:val="Heading2"/>
      </w:pPr>
      <w:r>
        <w:t>Carta de comunicação de revisão (quando aplicar a cláusula)</w:t>
      </w:r>
    </w:p>
    <w:p>
      <w:r>
        <w:rPr>
          <w:b w:val="0"/>
        </w:rPr>
        <w:t>[Cidade], [data].</w:t>
        <w:br/>
        <w:br/>
        <w:t>À [CLIENTE]</w:t>
        <w:br/>
        <w:t>Ref.: Contrato nº [__] – revisão por alteração tributária</w:t>
        <w:br/>
        <w:br/>
        <w:t>Prezados,</w:t>
        <w:br/>
        <w:br/>
        <w:t>Conforme a cláusula [__] do contrato, comunicamos que, a partir de [data], a [alteração: ex. substituição do PIS/Cofins pela CBS] altera o custo tributário do serviço. Segue a memória de cálculo:</w:t>
        <w:br/>
        <w:br/>
        <w:t>• Preço atual: R$ [__]</w:t>
        <w:br/>
        <w:t>• Tributos embutidos hoje: [__]% (R$ [__])</w:t>
        <w:br/>
        <w:t>• Preço líquido: R$ [__]</w:t>
        <w:br/>
        <w:t>• Tributos a partir de [data]: [__]% destacados na nota (R$ [__])</w:t>
        <w:br/>
        <w:t>• Novo valor total da nota: R$ [__]</w:t>
        <w:br/>
        <w:br/>
        <w:t>Lembramos que, sendo a sua empresa do regime regular, a CBS/IBS destacada na nota poderá gerar crédito para vocês, conforme a legislação. Ficamos à disposição para conversar até [data].</w:t>
        <w:br/>
        <w:br/>
        <w:t>Atenciosamente,</w:t>
        <w:br/>
        <w:t>[nome] – [empresa] – [telefone]</w:t>
      </w:r>
    </w:p>
    <w:p>
      <w:pPr>
        <w:shd w:val="clear" w:color="auto" w:fill="FFF4CC"/>
      </w:pPr>
      <w:r>
        <w:rPr>
          <w:sz w:val="19"/>
        </w:rPr>
        <w:t>Dica: rode o simulador Preço 2027 do app (ou a aba Preço 2027 do Painel) para preencher a memória de cálculo. Peça ao contador para conferir os percentuais.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B98AD"/>
        <w:sz w:val="16"/>
      </w:rPr>
      <w:t>Modelo de referência · Kit Não Vire Estatística · não substitui orientação jurídica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2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2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2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