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1605"/>
        <w:gridCol w:w="1170"/>
        <w:gridCol w:w="1969"/>
        <w:gridCol w:w="1620"/>
        <w:gridCol w:w="1254"/>
      </w:tblGrid>
      <w:tr w14:paraId="11CF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3E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ascii="黑体" w:eastAsia="黑体" w:cs="Times New Roman"/>
                <w:sz w:val="36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  <w14:ligatures w14:val="none"/>
              </w:rPr>
              <w:br w:type="page"/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  <w14:ligatures w14:val="none"/>
              </w:rPr>
              <w:br w:type="page"/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  <w14:ligatures w14:val="none"/>
              </w:rPr>
              <w:br w:type="page"/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  <w14:ligatures w14:val="none"/>
              </w:rPr>
              <w:br w:type="page"/>
            </w:r>
            <w:r>
              <w:rPr>
                <w:rFonts w:hint="eastAsia" w:ascii="黑体" w:hAnsi="黑体" w:eastAsia="黑体" w:cs="Times New Roman"/>
                <w:color w:val="auto"/>
                <w:kern w:val="0"/>
                <w:sz w:val="28"/>
                <w:szCs w:val="28"/>
                <w14:ligatures w14:val="none"/>
              </w:rPr>
              <w:br w:type="page"/>
            </w:r>
            <w:r>
              <w:rPr>
                <w:rFonts w:ascii="Times New Roman" w:hAnsi="Times New Roman" w:eastAsia="黑体" w:cs="Times New Roman"/>
                <w:color w:val="auto"/>
                <w:kern w:val="0"/>
                <w:sz w:val="36"/>
                <w:szCs w:val="36"/>
                <w14:ligatures w14:val="none"/>
              </w:rPr>
              <w:t>石横特钢集团有限公司管理标准</w:t>
            </w:r>
          </w:p>
        </w:tc>
      </w:tr>
      <w:tr w14:paraId="3C38B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99" w:type="pct"/>
            <w:vMerge w:val="restart"/>
            <w:vAlign w:val="center"/>
          </w:tcPr>
          <w:p w14:paraId="6C889FC1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名称</w:t>
            </w:r>
          </w:p>
          <w:p w14:paraId="5065A3ED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（版次）</w:t>
            </w:r>
          </w:p>
        </w:tc>
        <w:tc>
          <w:tcPr>
            <w:tcW w:w="2554" w:type="pct"/>
            <w:gridSpan w:val="3"/>
            <w:vMerge w:val="restart"/>
            <w:vAlign w:val="center"/>
          </w:tcPr>
          <w:p w14:paraId="378B7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精益认证工作细则</w:t>
            </w:r>
          </w:p>
          <w:p w14:paraId="1D746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（第一版）</w:t>
            </w:r>
          </w:p>
        </w:tc>
        <w:tc>
          <w:tcPr>
            <w:tcW w:w="872" w:type="pct"/>
            <w:vAlign w:val="center"/>
          </w:tcPr>
          <w:p w14:paraId="1DDAB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ascii="宋体" w:hAnsi="宋体" w:eastAsia="宋体" w:cs="Times New Roman"/>
                <w:color w:val="auto"/>
                <w:kern w:val="0"/>
                <w:sz w:val="28"/>
                <w:szCs w:val="28"/>
                <w14:ligatures w14:val="none"/>
              </w:rPr>
              <w:t>管理部门</w:t>
            </w:r>
          </w:p>
        </w:tc>
        <w:tc>
          <w:tcPr>
            <w:tcW w:w="673" w:type="pct"/>
            <w:vAlign w:val="center"/>
          </w:tcPr>
          <w:p w14:paraId="6B4E7704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精益办</w:t>
            </w:r>
          </w:p>
        </w:tc>
      </w:tr>
      <w:tr w14:paraId="334D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99" w:type="pct"/>
            <w:vMerge w:val="continue"/>
            <w:vAlign w:val="center"/>
          </w:tcPr>
          <w:p w14:paraId="67A28C79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</w:p>
        </w:tc>
        <w:tc>
          <w:tcPr>
            <w:tcW w:w="2554" w:type="pct"/>
            <w:gridSpan w:val="3"/>
            <w:vMerge w:val="continue"/>
            <w:vAlign w:val="center"/>
          </w:tcPr>
          <w:p w14:paraId="61F3F218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</w:p>
        </w:tc>
        <w:tc>
          <w:tcPr>
            <w:tcW w:w="872" w:type="pct"/>
            <w:vAlign w:val="center"/>
          </w:tcPr>
          <w:p w14:paraId="669B7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ascii="宋体" w:hAnsi="宋体" w:eastAsia="宋体" w:cs="Times New Roman"/>
                <w:color w:val="auto"/>
                <w:kern w:val="0"/>
                <w:sz w:val="28"/>
                <w:szCs w:val="28"/>
                <w14:ligatures w14:val="none"/>
              </w:rPr>
              <w:t>编    制</w:t>
            </w:r>
          </w:p>
        </w:tc>
        <w:tc>
          <w:tcPr>
            <w:tcW w:w="673" w:type="pct"/>
            <w:vAlign w:val="center"/>
          </w:tcPr>
          <w:p w14:paraId="7459C7AA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color w:val="000000"/>
                <w:szCs w:val="28"/>
                <w14:ligatures w14:val="none"/>
              </w:rPr>
              <w:t>黄</w:t>
            </w:r>
            <w:r>
              <w:rPr>
                <w:rFonts w:hint="eastAsia" w:cs="Times New Roman"/>
                <w:color w:val="000000"/>
                <w:szCs w:val="28"/>
                <w:lang w:val="en-US" w:eastAsia="zh-CN"/>
                <w14:ligatures w14:val="none"/>
              </w:rPr>
              <w:t xml:space="preserve">  </w:t>
            </w:r>
            <w:r>
              <w:rPr>
                <w:rFonts w:hint="eastAsia" w:cs="Times New Roman"/>
                <w:color w:val="000000"/>
                <w:szCs w:val="28"/>
                <w14:ligatures w14:val="none"/>
              </w:rPr>
              <w:t>聪</w:t>
            </w:r>
          </w:p>
        </w:tc>
      </w:tr>
      <w:tr w14:paraId="6E65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99" w:type="pct"/>
            <w:vMerge w:val="continue"/>
            <w:vAlign w:val="center"/>
          </w:tcPr>
          <w:p w14:paraId="4A41DAD6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</w:p>
        </w:tc>
        <w:tc>
          <w:tcPr>
            <w:tcW w:w="2554" w:type="pct"/>
            <w:gridSpan w:val="3"/>
            <w:vMerge w:val="continue"/>
            <w:vAlign w:val="center"/>
          </w:tcPr>
          <w:p w14:paraId="5B7528E5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</w:p>
        </w:tc>
        <w:tc>
          <w:tcPr>
            <w:tcW w:w="872" w:type="pct"/>
            <w:vAlign w:val="center"/>
          </w:tcPr>
          <w:p w14:paraId="38AEB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cs="Times New Roman"/>
                <w:spacing w:val="-10"/>
                <w:szCs w:val="28"/>
                <w14:ligatures w14:val="none"/>
              </w:rPr>
            </w:pPr>
            <w:r>
              <w:rPr>
                <w:rFonts w:ascii="宋体" w:hAnsi="宋体" w:eastAsia="宋体" w:cs="Times New Roman"/>
                <w:color w:val="auto"/>
                <w:spacing w:val="-10"/>
                <w:kern w:val="0"/>
                <w:sz w:val="28"/>
                <w:szCs w:val="28"/>
                <w14:ligatures w14:val="none"/>
              </w:rPr>
              <w:t>标准化审查</w:t>
            </w:r>
          </w:p>
        </w:tc>
        <w:tc>
          <w:tcPr>
            <w:tcW w:w="673" w:type="pct"/>
            <w:vAlign w:val="center"/>
          </w:tcPr>
          <w:p w14:paraId="22533D5B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李永乐</w:t>
            </w:r>
          </w:p>
        </w:tc>
      </w:tr>
      <w:tr w14:paraId="3C95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99" w:type="pct"/>
            <w:vAlign w:val="center"/>
          </w:tcPr>
          <w:p w14:paraId="47D77110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发布日期</w:t>
            </w:r>
          </w:p>
        </w:tc>
        <w:tc>
          <w:tcPr>
            <w:tcW w:w="864" w:type="pct"/>
            <w:vAlign w:val="center"/>
          </w:tcPr>
          <w:p w14:paraId="2F193AF8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实施日期</w:t>
            </w:r>
          </w:p>
        </w:tc>
        <w:tc>
          <w:tcPr>
            <w:tcW w:w="630" w:type="pct"/>
            <w:vAlign w:val="center"/>
          </w:tcPr>
          <w:p w14:paraId="75F812DC">
            <w:pPr>
              <w:widowControl w:val="0"/>
              <w:spacing w:line="440" w:lineRule="exact"/>
              <w:ind w:firstLine="0" w:firstLineChars="0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修改次</w:t>
            </w:r>
          </w:p>
        </w:tc>
        <w:tc>
          <w:tcPr>
            <w:tcW w:w="1059" w:type="pct"/>
            <w:vAlign w:val="center"/>
          </w:tcPr>
          <w:p w14:paraId="48F868CC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修改实施日期</w:t>
            </w:r>
          </w:p>
        </w:tc>
        <w:tc>
          <w:tcPr>
            <w:tcW w:w="872" w:type="pct"/>
            <w:vAlign w:val="center"/>
          </w:tcPr>
          <w:p w14:paraId="7CD94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ascii="宋体" w:hAnsi="宋体" w:eastAsia="宋体" w:cs="Times New Roman"/>
                <w:color w:val="auto"/>
                <w:kern w:val="0"/>
                <w:sz w:val="28"/>
                <w:szCs w:val="28"/>
                <w14:ligatures w14:val="none"/>
              </w:rPr>
              <w:t>审    核</w:t>
            </w:r>
          </w:p>
        </w:tc>
        <w:tc>
          <w:tcPr>
            <w:tcW w:w="673" w:type="pct"/>
            <w:vAlign w:val="center"/>
          </w:tcPr>
          <w:p w14:paraId="35EF68D4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栾子毅</w:t>
            </w:r>
          </w:p>
        </w:tc>
      </w:tr>
      <w:tr w14:paraId="3325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99" w:type="pct"/>
            <w:vAlign w:val="center"/>
          </w:tcPr>
          <w:p w14:paraId="4681604E">
            <w:pPr>
              <w:widowControl w:val="0"/>
              <w:spacing w:line="500" w:lineRule="exact"/>
              <w:ind w:firstLine="0" w:firstLineChars="0"/>
              <w:jc w:val="center"/>
              <w:rPr>
                <w:rFonts w:hint="default" w:cs="Times New Roman"/>
                <w:spacing w:val="-11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eastAsia" w:ascii="宋体" w:hAnsi="宋体" w:eastAsia="宋体" w:cs="Times New Roman"/>
                <w:color w:val="auto"/>
                <w:spacing w:val="-11"/>
                <w:kern w:val="0"/>
                <w:sz w:val="28"/>
                <w:szCs w:val="28"/>
                <w:lang w:val="en-US" w:eastAsia="zh-CN"/>
                <w14:ligatures w14:val="none"/>
              </w:rPr>
              <w:t>2025.03.06</w:t>
            </w:r>
          </w:p>
        </w:tc>
        <w:tc>
          <w:tcPr>
            <w:tcW w:w="864" w:type="pct"/>
            <w:vAlign w:val="center"/>
          </w:tcPr>
          <w:p w14:paraId="6C586D9F">
            <w:pPr>
              <w:widowControl w:val="0"/>
              <w:spacing w:line="500" w:lineRule="exact"/>
              <w:ind w:firstLine="0" w:firstLineChars="0"/>
              <w:jc w:val="center"/>
              <w:rPr>
                <w:rFonts w:hint="eastAsia" w:cs="Times New Roman"/>
                <w:spacing w:val="-11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color w:val="auto"/>
                <w:spacing w:val="-11"/>
                <w:kern w:val="0"/>
                <w:sz w:val="28"/>
                <w:szCs w:val="28"/>
                <w:lang w:val="en-US" w:eastAsia="zh-CN"/>
                <w14:ligatures w14:val="none"/>
              </w:rPr>
              <w:t>2025.03.06</w:t>
            </w:r>
          </w:p>
        </w:tc>
        <w:tc>
          <w:tcPr>
            <w:tcW w:w="630" w:type="pct"/>
            <w:vAlign w:val="center"/>
          </w:tcPr>
          <w:p w14:paraId="17724C13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0</w:t>
            </w:r>
          </w:p>
        </w:tc>
        <w:tc>
          <w:tcPr>
            <w:tcW w:w="1059" w:type="pct"/>
            <w:vAlign w:val="center"/>
          </w:tcPr>
          <w:p w14:paraId="16DD2A2E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cs="Times New Roman"/>
                <w:szCs w:val="28"/>
                <w14:ligatures w14:val="none"/>
              </w:rPr>
              <w:t>/</w:t>
            </w:r>
          </w:p>
        </w:tc>
        <w:tc>
          <w:tcPr>
            <w:tcW w:w="872" w:type="pct"/>
            <w:vAlign w:val="center"/>
          </w:tcPr>
          <w:p w14:paraId="3DA7D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0" w:firstLineChars="0"/>
              <w:jc w:val="center"/>
              <w:textAlignment w:val="auto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ascii="宋体" w:hAnsi="宋体" w:eastAsia="宋体" w:cs="Times New Roman"/>
                <w:color w:val="auto"/>
                <w:kern w:val="0"/>
                <w:sz w:val="28"/>
                <w:szCs w:val="28"/>
                <w14:ligatures w14:val="none"/>
              </w:rPr>
              <w:t>批    准</w:t>
            </w:r>
          </w:p>
        </w:tc>
        <w:tc>
          <w:tcPr>
            <w:tcW w:w="673" w:type="pct"/>
            <w:vAlign w:val="center"/>
          </w:tcPr>
          <w:p w14:paraId="6C41CB68">
            <w:pPr>
              <w:widowControl w:val="0"/>
              <w:spacing w:line="440" w:lineRule="exact"/>
              <w:ind w:firstLine="0" w:firstLineChars="0"/>
              <w:jc w:val="center"/>
              <w:rPr>
                <w:rFonts w:hint="eastAsia" w:cs="Times New Roman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0"/>
                <w:sz w:val="28"/>
                <w:szCs w:val="28"/>
                <w14:ligatures w14:val="none"/>
              </w:rPr>
              <w:t>张连航</w:t>
            </w:r>
          </w:p>
        </w:tc>
      </w:tr>
    </w:tbl>
    <w:p w14:paraId="39D57DBF">
      <w:pPr>
        <w:widowControl w:val="0"/>
        <w:spacing w:before="120" w:beforeLines="50" w:after="120" w:afterLines="50"/>
        <w:ind w:firstLine="0" w:firstLineChars="0"/>
        <w:outlineLvl w:val="0"/>
        <w:rPr>
          <w:rFonts w:hint="eastAsia" w:ascii="黑体" w:eastAsia="黑体" w:cs="Times New Roman"/>
          <w:szCs w:val="24"/>
          <w14:ligatures w14:val="none"/>
        </w:rPr>
      </w:pPr>
      <w:r>
        <w:rPr>
          <w:rFonts w:hint="eastAsia" w:ascii="黑体" w:eastAsia="黑体" w:cs="Times New Roman"/>
          <w:szCs w:val="24"/>
          <w14:ligatures w14:val="none"/>
        </w:rPr>
        <w:t>1  目的</w:t>
      </w:r>
    </w:p>
    <w:p w14:paraId="0EBFE204">
      <w:pPr>
        <w:ind w:firstLine="560"/>
        <w:rPr>
          <w:rFonts w:hint="eastAsia" w:cs="宋体"/>
        </w:rPr>
      </w:pPr>
      <w:r>
        <w:rPr>
          <w:rFonts w:hint="eastAsia" w:cs="宋体"/>
        </w:rPr>
        <w:t>为</w:t>
      </w:r>
      <w:r>
        <w:rPr>
          <w:rFonts w:hint="eastAsia" w:cs="宋体"/>
          <w:lang w:val="en-US" w:eastAsia="zh-CN"/>
        </w:rPr>
        <w:t>了</w:t>
      </w:r>
      <w:r>
        <w:rPr>
          <w:rFonts w:hint="eastAsia" w:cs="宋体"/>
        </w:rPr>
        <w:t>持续推进企业精益运营转型，构建一支精通精益方法论、掌握精益管理工具并具备影响力和驱动力的精益骨干与教练团队，特制定本细则。</w:t>
      </w:r>
    </w:p>
    <w:p w14:paraId="00B1BAFA">
      <w:pPr>
        <w:pStyle w:val="39"/>
        <w:spacing w:before="197" w:after="197"/>
        <w:rPr>
          <w:rFonts w:hint="eastAsia"/>
        </w:rPr>
      </w:pPr>
      <w:r>
        <w:rPr>
          <w:rFonts w:hint="eastAsia"/>
        </w:rPr>
        <w:t>2  职责</w:t>
      </w:r>
    </w:p>
    <w:p w14:paraId="5325569A">
      <w:pPr>
        <w:ind w:firstLine="0" w:firstLineChars="0"/>
        <w:rPr>
          <w:rFonts w:hint="eastAsia" w:cs="宋体"/>
        </w:rPr>
      </w:pPr>
      <w:r>
        <w:rPr>
          <w:rFonts w:hint="eastAsia" w:ascii="黑体" w:hAnsi="黑体" w:eastAsia="黑体"/>
          <w:szCs w:val="28"/>
          <w14:ligatures w14:val="none"/>
        </w:rPr>
        <w:t>2.1</w:t>
      </w:r>
      <w:r>
        <w:rPr>
          <w:rFonts w:hint="eastAsia"/>
        </w:rPr>
        <w:t xml:space="preserve">  </w:t>
      </w:r>
      <w:r>
        <w:rPr>
          <w:rFonts w:hint="eastAsia" w:cs="宋体"/>
        </w:rPr>
        <w:t>总经理</w:t>
      </w:r>
    </w:p>
    <w:p w14:paraId="5A78312E">
      <w:pPr>
        <w:ind w:firstLine="560"/>
        <w:rPr>
          <w:rFonts w:hint="eastAsia" w:cs="宋体"/>
        </w:rPr>
      </w:pPr>
      <w:r>
        <w:rPr>
          <w:rFonts w:hint="eastAsia" w:cs="宋体"/>
        </w:rPr>
        <w:t>负责</w:t>
      </w:r>
      <w:r>
        <w:rPr>
          <w:rFonts w:hint="eastAsia" w:ascii="宋体" w:hAnsi="宋体" w:eastAsia="宋体" w:cs="宋体"/>
          <w:lang w:val="en-US" w:eastAsia="zh-CN"/>
        </w:rPr>
        <w:t>审批</w:t>
      </w:r>
      <w:r>
        <w:rPr>
          <w:rFonts w:hint="eastAsia" w:cs="宋体"/>
        </w:rPr>
        <w:t>精益认证意见。</w:t>
      </w:r>
    </w:p>
    <w:p w14:paraId="5EEB25A9">
      <w:pPr>
        <w:pStyle w:val="39"/>
        <w:spacing w:before="0" w:beforeLines="0" w:after="0" w:afterLines="0"/>
        <w:rPr>
          <w:rFonts w:hint="eastAsia" w:ascii="宋体" w:hAnsi="宋体" w:eastAsia="宋体"/>
        </w:rPr>
      </w:pPr>
      <w:r>
        <w:rPr>
          <w:rFonts w:hint="eastAsia"/>
        </w:rPr>
        <w:t xml:space="preserve">2.2  </w:t>
      </w:r>
      <w:r>
        <w:rPr>
          <w:rFonts w:hint="eastAsia" w:ascii="宋体" w:hAnsi="宋体" w:eastAsia="宋体"/>
        </w:rPr>
        <w:t>精益办</w:t>
      </w:r>
    </w:p>
    <w:p w14:paraId="6AF7F142">
      <w:pPr>
        <w:ind w:firstLine="0" w:firstLineChars="0"/>
        <w:rPr>
          <w:rFonts w:hint="eastAsia" w:cs="宋体"/>
        </w:rPr>
      </w:pPr>
      <w:r>
        <w:rPr>
          <w:rFonts w:hint="eastAsia" w:ascii="黑体" w:hAnsi="黑体" w:eastAsia="黑体"/>
          <w:szCs w:val="28"/>
          <w14:ligatures w14:val="none"/>
        </w:rPr>
        <w:t xml:space="preserve">2.2.1 </w:t>
      </w:r>
      <w:r>
        <w:rPr>
          <w:rFonts w:hint="eastAsia" w:ascii="黑体" w:hAnsi="黑体" w:eastAsia="黑体"/>
          <w:szCs w:val="28"/>
          <w:lang w:val="en-US" w:eastAsia="zh-CN"/>
          <w14:ligatures w14:val="none"/>
        </w:rPr>
        <w:t xml:space="preserve"> </w:t>
      </w:r>
      <w:r>
        <w:rPr>
          <w:rFonts w:hint="eastAsia" w:cs="宋体"/>
        </w:rPr>
        <w:t>负责精益认证的整体组织与实施，包括课程开通、理论考试组织、认证评审组织等。</w:t>
      </w:r>
    </w:p>
    <w:p w14:paraId="09DD874F">
      <w:pPr>
        <w:ind w:firstLine="0" w:firstLineChars="0"/>
        <w:rPr>
          <w:rFonts w:hint="eastAsia" w:cs="宋体"/>
        </w:rPr>
      </w:pPr>
      <w:r>
        <w:rPr>
          <w:rFonts w:hint="eastAsia" w:ascii="黑体" w:hAnsi="黑体" w:eastAsia="黑体"/>
          <w:szCs w:val="28"/>
          <w14:ligatures w14:val="none"/>
        </w:rPr>
        <w:t xml:space="preserve">2.2.2 </w:t>
      </w:r>
      <w:r>
        <w:rPr>
          <w:rFonts w:hint="eastAsia" w:ascii="黑体" w:hAnsi="黑体" w:eastAsia="黑体"/>
          <w:szCs w:val="28"/>
          <w:lang w:val="en-US" w:eastAsia="zh-CN"/>
          <w14:ligatures w14:val="none"/>
        </w:rPr>
        <w:t xml:space="preserve"> </w:t>
      </w:r>
      <w:r>
        <w:rPr>
          <w:rFonts w:hint="eastAsia" w:cs="宋体"/>
        </w:rPr>
        <w:t>负责认证结果备案，并将结果转人资部。</w:t>
      </w:r>
    </w:p>
    <w:p w14:paraId="0A81D402">
      <w:pPr>
        <w:ind w:firstLine="0" w:firstLineChars="0"/>
        <w:rPr>
          <w:rFonts w:hint="eastAsia" w:cs="宋体"/>
        </w:rPr>
      </w:pPr>
      <w:r>
        <w:rPr>
          <w:rFonts w:hint="eastAsia" w:ascii="黑体" w:hAnsi="黑体" w:eastAsia="黑体"/>
          <w:szCs w:val="28"/>
          <w14:ligatures w14:val="none"/>
        </w:rPr>
        <w:t>2.3</w:t>
      </w:r>
      <w:r>
        <w:rPr>
          <w:rFonts w:hint="eastAsia"/>
        </w:rPr>
        <w:t xml:space="preserve">  </w:t>
      </w:r>
      <w:r>
        <w:rPr>
          <w:rFonts w:hint="eastAsia" w:cs="宋体"/>
        </w:rPr>
        <w:t>人资部</w:t>
      </w:r>
    </w:p>
    <w:p w14:paraId="31AF0B8C">
      <w:pPr>
        <w:ind w:firstLine="560"/>
        <w:rPr>
          <w:rFonts w:hint="eastAsia" w:cs="宋体"/>
        </w:rPr>
      </w:pPr>
      <w:r>
        <w:rPr>
          <w:rFonts w:hint="eastAsia" w:cs="宋体"/>
        </w:rPr>
        <w:t>负责</w:t>
      </w:r>
      <w:r>
        <w:rPr>
          <w:rFonts w:hint="eastAsia" w:ascii="宋体" w:hAnsi="宋体" w:eastAsia="宋体" w:cs="宋体"/>
          <w:lang w:val="en-US" w:eastAsia="zh-CN"/>
        </w:rPr>
        <w:t>应用</w:t>
      </w:r>
      <w:r>
        <w:rPr>
          <w:rFonts w:hint="eastAsia" w:cs="宋体"/>
        </w:rPr>
        <w:t>精益认证结果，将其作为职务竞聘、晋升的依据。</w:t>
      </w:r>
    </w:p>
    <w:p w14:paraId="5B02E1D8">
      <w:pPr>
        <w:pStyle w:val="39"/>
        <w:spacing w:before="197" w:after="197"/>
        <w:rPr>
          <w:rFonts w:hint="eastAsia"/>
        </w:rPr>
      </w:pPr>
      <w:r>
        <w:rPr>
          <w:rFonts w:hint="eastAsia"/>
        </w:rPr>
        <w:t>3  精益认证等级与认证标准</w:t>
      </w:r>
    </w:p>
    <w:p w14:paraId="189F08B8">
      <w:pPr>
        <w:spacing w:before="156"/>
        <w:ind w:firstLine="560"/>
        <w:rPr>
          <w:rFonts w:hint="eastAsia" w:cs="宋体"/>
          <w:b w:val="0"/>
          <w:bCs w:val="0"/>
        </w:rPr>
      </w:pPr>
      <w:r>
        <w:rPr>
          <w:rFonts w:hint="eastAsia" w:cs="宋体"/>
        </w:rPr>
        <w:t>精益认证等级分为四个等级：精益学员、精益骨干、精益教练和资深教练。各等级的认证标准如下：</w:t>
      </w:r>
    </w:p>
    <w:tbl>
      <w:tblPr>
        <w:tblStyle w:val="17"/>
        <w:tblW w:w="92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013"/>
        <w:gridCol w:w="6025"/>
      </w:tblGrid>
      <w:tr w14:paraId="1CE74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tblHeader/>
          <w:jc w:val="center"/>
        </w:trPr>
        <w:tc>
          <w:tcPr>
            <w:tcW w:w="1255" w:type="dxa"/>
            <w:vAlign w:val="center"/>
          </w:tcPr>
          <w:p w14:paraId="281E27E1">
            <w:pPr>
              <w:spacing w:line="400" w:lineRule="exact"/>
              <w:ind w:firstLine="0" w:firstLineChars="0"/>
              <w:jc w:val="center"/>
              <w:rPr>
                <w:rFonts w:hint="eastAsia" w:cs="宋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</w:rPr>
              <w:t>认证等级</w:t>
            </w:r>
          </w:p>
        </w:tc>
        <w:tc>
          <w:tcPr>
            <w:tcW w:w="2013" w:type="dxa"/>
            <w:vAlign w:val="center"/>
          </w:tcPr>
          <w:p w14:paraId="27EC9C96">
            <w:pPr>
              <w:spacing w:line="400" w:lineRule="exact"/>
              <w:ind w:firstLine="0" w:firstLineChars="0"/>
              <w:jc w:val="center"/>
              <w:rPr>
                <w:rFonts w:hint="eastAsia" w:cs="宋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</w:rPr>
              <w:t>定位</w:t>
            </w:r>
          </w:p>
        </w:tc>
        <w:tc>
          <w:tcPr>
            <w:tcW w:w="6025" w:type="dxa"/>
            <w:vAlign w:val="center"/>
          </w:tcPr>
          <w:p w14:paraId="3B3FE2A9">
            <w:pPr>
              <w:spacing w:line="400" w:lineRule="exact"/>
              <w:ind w:firstLine="0" w:firstLineChars="0"/>
              <w:jc w:val="center"/>
              <w:rPr>
                <w:rFonts w:hint="eastAsia" w:cs="宋体"/>
                <w:b w:val="0"/>
                <w:bCs w:val="0"/>
                <w:kern w:val="0"/>
                <w:sz w:val="24"/>
                <w:szCs w:val="24"/>
              </w:rPr>
            </w:pP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</w:rPr>
              <w:t>认证标准</w:t>
            </w:r>
          </w:p>
        </w:tc>
      </w:tr>
      <w:tr w14:paraId="0871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255" w:type="dxa"/>
            <w:vAlign w:val="center"/>
          </w:tcPr>
          <w:p w14:paraId="6ED2C3E8">
            <w:pPr>
              <w:spacing w:line="400" w:lineRule="exact"/>
              <w:ind w:firstLine="0" w:firstLineChars="0"/>
              <w:jc w:val="center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精益学员</w:t>
            </w:r>
          </w:p>
        </w:tc>
        <w:tc>
          <w:tcPr>
            <w:tcW w:w="2013" w:type="dxa"/>
            <w:vAlign w:val="center"/>
          </w:tcPr>
          <w:p w14:paraId="26B294F7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熟悉精益基本理念和知识</w:t>
            </w:r>
          </w:p>
        </w:tc>
        <w:tc>
          <w:tcPr>
            <w:tcW w:w="6025" w:type="dxa"/>
            <w:vAlign w:val="center"/>
          </w:tcPr>
          <w:p w14:paraId="2C09A0F9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  <w:shd w:val="clear" w:color="auto" w:fill="FDFDFE"/>
              </w:rPr>
            </w:pPr>
            <w:r>
              <w:rPr>
                <w:rFonts w:hint="eastAsia" w:cs="宋体"/>
                <w:kern w:val="0"/>
                <w:sz w:val="24"/>
                <w:szCs w:val="24"/>
                <w:shd w:val="clear" w:color="auto" w:fill="FDFDFE"/>
              </w:rPr>
              <w:t>完成精益学员课程培训，并通过理论考试</w:t>
            </w:r>
          </w:p>
        </w:tc>
      </w:tr>
      <w:tr w14:paraId="5747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  <w:jc w:val="center"/>
        </w:trPr>
        <w:tc>
          <w:tcPr>
            <w:tcW w:w="1255" w:type="dxa"/>
            <w:vAlign w:val="center"/>
          </w:tcPr>
          <w:p w14:paraId="7967E361">
            <w:pPr>
              <w:spacing w:line="400" w:lineRule="exact"/>
              <w:ind w:firstLine="0" w:firstLineChars="0"/>
              <w:jc w:val="center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精益骨干</w:t>
            </w:r>
          </w:p>
        </w:tc>
        <w:tc>
          <w:tcPr>
            <w:tcW w:w="2013" w:type="dxa"/>
            <w:vAlign w:val="center"/>
          </w:tcPr>
          <w:p w14:paraId="218AF1D5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掌握并应用精益理念、工具和方法，参与精益项目</w:t>
            </w:r>
          </w:p>
        </w:tc>
        <w:tc>
          <w:tcPr>
            <w:tcW w:w="6025" w:type="dxa"/>
            <w:vAlign w:val="center"/>
          </w:tcPr>
          <w:p w14:paraId="6A6C39F0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1.取得精益学员资格</w:t>
            </w:r>
          </w:p>
          <w:p w14:paraId="54F7A9EB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2.完成精益骨干课程培训，并通过理论考试</w:t>
            </w:r>
          </w:p>
          <w:p w14:paraId="1230CE2F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3.参与单个精益项目6个月以上</w:t>
            </w:r>
          </w:p>
          <w:p w14:paraId="421914FF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4.通过精益办认证评审</w:t>
            </w:r>
          </w:p>
        </w:tc>
      </w:tr>
      <w:tr w14:paraId="189D7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9" w:hRule="atLeast"/>
          <w:jc w:val="center"/>
        </w:trPr>
        <w:tc>
          <w:tcPr>
            <w:tcW w:w="1255" w:type="dxa"/>
            <w:vAlign w:val="center"/>
          </w:tcPr>
          <w:p w14:paraId="68A88529">
            <w:pPr>
              <w:spacing w:line="400" w:lineRule="exact"/>
              <w:ind w:firstLine="0" w:firstLineChars="0"/>
              <w:jc w:val="center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精益教练</w:t>
            </w:r>
          </w:p>
        </w:tc>
        <w:tc>
          <w:tcPr>
            <w:tcW w:w="2013" w:type="dxa"/>
            <w:vAlign w:val="center"/>
          </w:tcPr>
          <w:p w14:paraId="24095DAC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组织和领导精益项目的开展</w:t>
            </w:r>
          </w:p>
        </w:tc>
        <w:tc>
          <w:tcPr>
            <w:tcW w:w="6025" w:type="dxa"/>
            <w:vAlign w:val="center"/>
          </w:tcPr>
          <w:p w14:paraId="165B58EB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1.取得精益骨干认证</w:t>
            </w:r>
          </w:p>
          <w:p w14:paraId="496EE325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2.作为项目举措负责人，承担至少1个公司级精益项目或2个部门级精益项目</w:t>
            </w:r>
          </w:p>
          <w:p w14:paraId="3E0CEFFD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3.完成至少4门精益课程的实训任务</w:t>
            </w:r>
          </w:p>
          <w:p w14:paraId="115F85D2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4.通过精益办认证评审</w:t>
            </w:r>
          </w:p>
        </w:tc>
      </w:tr>
      <w:tr w14:paraId="365C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5" w:hRule="atLeast"/>
          <w:jc w:val="center"/>
        </w:trPr>
        <w:tc>
          <w:tcPr>
            <w:tcW w:w="1255" w:type="dxa"/>
            <w:vAlign w:val="center"/>
          </w:tcPr>
          <w:p w14:paraId="6B442E55">
            <w:pPr>
              <w:spacing w:line="400" w:lineRule="exact"/>
              <w:ind w:firstLine="0" w:firstLineChars="0"/>
              <w:jc w:val="center"/>
              <w:rPr>
                <w:rFonts w:hint="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资深教练</w:t>
            </w:r>
          </w:p>
        </w:tc>
        <w:tc>
          <w:tcPr>
            <w:tcW w:w="2013" w:type="dxa"/>
            <w:vAlign w:val="center"/>
          </w:tcPr>
          <w:p w14:paraId="31B25F87">
            <w:pPr>
              <w:spacing w:line="400" w:lineRule="exact"/>
              <w:ind w:firstLine="0" w:firstLineChars="0"/>
              <w:rPr>
                <w:rFonts w:hint="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发掘精益项目、并指导精益项目的开展与实施</w:t>
            </w:r>
          </w:p>
        </w:tc>
        <w:tc>
          <w:tcPr>
            <w:tcW w:w="6025" w:type="dxa"/>
            <w:vAlign w:val="center"/>
          </w:tcPr>
          <w:p w14:paraId="23078035">
            <w:pPr>
              <w:tabs>
                <w:tab w:val="left" w:pos="312"/>
              </w:tabs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1.取得精益教练认证</w:t>
            </w:r>
          </w:p>
          <w:p w14:paraId="71CE33A3">
            <w:pPr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2.作为项目举措负责人，至少领导4个公司级精益项目</w:t>
            </w:r>
          </w:p>
          <w:p w14:paraId="0E9FF1DF">
            <w:pPr>
              <w:tabs>
                <w:tab w:val="left" w:pos="312"/>
              </w:tabs>
              <w:spacing w:line="400" w:lineRule="exact"/>
              <w:ind w:firstLine="0" w:firstLineChars="0"/>
              <w:rPr>
                <w:rFonts w:hint="eastAsia" w:cs="宋体"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3.完成至少8门精益课程的实训任务</w:t>
            </w:r>
          </w:p>
          <w:p w14:paraId="290EC304">
            <w:pPr>
              <w:spacing w:line="400" w:lineRule="exact"/>
              <w:ind w:firstLine="0" w:firstLineChars="0"/>
              <w:rPr>
                <w:rFonts w:hint="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</w:rPr>
              <w:t>4.通过精益办认证评审</w:t>
            </w:r>
          </w:p>
        </w:tc>
      </w:tr>
    </w:tbl>
    <w:p w14:paraId="63635DCE">
      <w:pPr>
        <w:pStyle w:val="39"/>
        <w:spacing w:before="197" w:after="197"/>
        <w:rPr>
          <w:rFonts w:hint="eastAsia"/>
        </w:rPr>
      </w:pPr>
      <w:r>
        <w:rPr>
          <w:rFonts w:hint="eastAsia"/>
        </w:rPr>
        <w:t>4  认证程序</w:t>
      </w:r>
    </w:p>
    <w:p w14:paraId="7612A556">
      <w:pPr>
        <w:ind w:firstLine="560"/>
        <w:rPr>
          <w:rFonts w:hint="eastAsia" w:cs="宋体"/>
          <w:strike/>
          <w:highlight w:val="yellow"/>
        </w:rPr>
      </w:pPr>
      <w:r>
        <w:rPr>
          <w:rFonts w:hint="eastAsia" w:cs="宋体"/>
        </w:rPr>
        <w:t>精益认证采用个人申请、逐级申请认证的方式。</w:t>
      </w:r>
    </w:p>
    <w:p w14:paraId="445DDDF6">
      <w:pPr>
        <w:pStyle w:val="39"/>
        <w:spacing w:before="0" w:beforeLines="0" w:after="0" w:afterLines="0"/>
        <w:rPr>
          <w:rFonts w:hint="eastAsia" w:ascii="宋体" w:hAnsi="宋体" w:eastAsia="宋体"/>
        </w:rPr>
      </w:pPr>
      <w:r>
        <w:rPr>
          <w:rFonts w:hint="eastAsia"/>
        </w:rPr>
        <w:t xml:space="preserve">4.1  </w:t>
      </w:r>
      <w:r>
        <w:rPr>
          <w:rFonts w:hint="eastAsia" w:ascii="宋体" w:hAnsi="宋体" w:eastAsia="宋体"/>
        </w:rPr>
        <w:t>精益学员认证</w:t>
      </w:r>
    </w:p>
    <w:p w14:paraId="6018FACF">
      <w:pPr>
        <w:ind w:firstLine="560"/>
        <w:rPr>
          <w:rFonts w:hint="eastAsia" w:cs="宋体"/>
        </w:rPr>
      </w:pPr>
      <w:r>
        <w:rPr>
          <w:rFonts w:hint="eastAsia" w:cs="宋体"/>
        </w:rPr>
        <w:t>精益学员是精益管理工作的储备力量，需熟悉精益基本理念和知识。认证流程如下：</w:t>
      </w:r>
    </w:p>
    <w:p w14:paraId="395ACC3D">
      <w:pPr>
        <w:ind w:firstLine="0" w:firstLineChars="0"/>
        <w:rPr>
          <w:rFonts w:hint="eastAsia" w:cs="宋体"/>
        </w:rPr>
      </w:pPr>
      <w:r>
        <w:rPr>
          <w:rFonts w:hint="eastAsia" w:ascii="黑体" w:hAnsi="黑体" w:eastAsia="黑体" w:cs="黑体"/>
          <w:szCs w:val="28"/>
        </w:rPr>
        <w:t xml:space="preserve">4.1.1  </w:t>
      </w:r>
      <w:r>
        <w:rPr>
          <w:rFonts w:hint="eastAsia" w:cs="宋体"/>
        </w:rPr>
        <w:t>申请学习。公司范围内有意愿的职工均可向精益办提出学习精益课程的申请，由精益办开通线上学习权限，个人安排自主学习。</w:t>
      </w:r>
    </w:p>
    <w:p w14:paraId="6B5A0F5B">
      <w:pPr>
        <w:ind w:firstLine="0" w:firstLineChars="0"/>
        <w:rPr>
          <w:rFonts w:hint="eastAsia" w:cs="宋体"/>
          <w:strike/>
        </w:rPr>
      </w:pPr>
      <w:r>
        <w:rPr>
          <w:rFonts w:hint="eastAsia" w:ascii="黑体" w:hAnsi="黑体" w:eastAsia="黑体" w:cs="黑体"/>
        </w:rPr>
        <w:t>4</w:t>
      </w:r>
      <w:r>
        <w:rPr>
          <w:rFonts w:ascii="黑体" w:hAnsi="黑体" w:eastAsia="黑体" w:cs="黑体"/>
        </w:rPr>
        <w:t>.</w:t>
      </w:r>
      <w:r>
        <w:rPr>
          <w:rFonts w:hint="eastAsia" w:ascii="黑体" w:hAnsi="黑体" w:eastAsia="黑体" w:cs="黑体"/>
        </w:rPr>
        <w:t xml:space="preserve">1.2  </w:t>
      </w:r>
      <w:r>
        <w:rPr>
          <w:rFonts w:hint="eastAsia" w:cs="宋体"/>
        </w:rPr>
        <w:t>理论考试。学完《精益课程明细表》精益学员阶段课程后，参加精益办组织的理论考试。</w:t>
      </w:r>
      <w:r>
        <w:rPr>
          <w:rFonts w:hint="eastAsia" w:cs="宋体"/>
          <w:shd w:val="clear" w:color="auto" w:fill="FFFFFF"/>
        </w:rPr>
        <w:t>原则上，精益办按季度组织理论考试，考试合格者即可取得精益学员资格，该资格是精益骨干认证的必备条件。</w:t>
      </w:r>
    </w:p>
    <w:p w14:paraId="790C1608">
      <w:pPr>
        <w:pStyle w:val="39"/>
        <w:spacing w:before="0" w:beforeLines="0" w:after="0" w:afterLines="0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 w:ascii="宋体" w:hAnsi="宋体" w:eastAsia="宋体"/>
        </w:rPr>
        <w:t xml:space="preserve"> 精益骨干、精益教练、资深教练认证</w:t>
      </w:r>
    </w:p>
    <w:p w14:paraId="5FB63A66">
      <w:pPr>
        <w:ind w:firstLine="560"/>
        <w:rPr>
          <w:rFonts w:hint="eastAsia" w:cs="宋体"/>
        </w:rPr>
      </w:pPr>
      <w:r>
        <w:rPr>
          <w:rFonts w:hint="eastAsia" w:cs="宋体"/>
        </w:rPr>
        <w:t>精益骨干、精益教练、资深教练分别作为企业精益管理的基础力量、中坚力量、引领力量，精益办每年组织两次集中认证（分别在年中、年末），具体时间以认证通知为准。认证流程如下：</w:t>
      </w:r>
    </w:p>
    <w:p w14:paraId="6CEB40E1">
      <w:pPr>
        <w:pStyle w:val="39"/>
        <w:spacing w:before="0" w:beforeLines="0" w:after="0" w:afterLines="0"/>
        <w:rPr>
          <w:rFonts w:hint="eastAsia" w:ascii="宋体" w:hAnsi="宋体" w:eastAsia="宋体"/>
        </w:rPr>
      </w:pPr>
      <w:r>
        <w:rPr>
          <w:rFonts w:hint="eastAsia"/>
        </w:rPr>
        <w:t xml:space="preserve">4.2.1 </w:t>
      </w:r>
      <w:r>
        <w:rPr>
          <w:rFonts w:hint="eastAsia" w:ascii="宋体" w:hAnsi="宋体" w:eastAsia="宋体"/>
        </w:rPr>
        <w:t xml:space="preserve"> 个人申请</w:t>
      </w:r>
    </w:p>
    <w:p w14:paraId="1824F22D">
      <w:pPr>
        <w:ind w:firstLine="560"/>
        <w:rPr>
          <w:rFonts w:hint="eastAsia" w:cs="宋体"/>
        </w:rPr>
      </w:pPr>
      <w:r>
        <w:rPr>
          <w:rFonts w:hint="eastAsia" w:cs="宋体"/>
        </w:rPr>
        <w:t>个人对照各等级认证标准，填写《精益认证申请表》，提交至精益办。在精益办任职6个月及以上人员参加精益认证，对精益项目经验不作要求。</w:t>
      </w:r>
    </w:p>
    <w:p w14:paraId="743049BE">
      <w:pPr>
        <w:pStyle w:val="39"/>
        <w:spacing w:before="0" w:beforeLines="0" w:after="0" w:afterLines="0"/>
        <w:rPr>
          <w:rFonts w:hint="eastAsia"/>
        </w:rPr>
      </w:pPr>
      <w:r>
        <w:rPr>
          <w:rFonts w:hint="eastAsia"/>
        </w:rPr>
        <w:t xml:space="preserve">4.2.2 </w:t>
      </w:r>
      <w:r>
        <w:rPr>
          <w:rFonts w:hint="eastAsia" w:ascii="宋体" w:hAnsi="宋体" w:eastAsia="宋体"/>
        </w:rPr>
        <w:t xml:space="preserve"> 理论考试</w:t>
      </w:r>
    </w:p>
    <w:p w14:paraId="7B8A021E">
      <w:pPr>
        <w:ind w:firstLine="560"/>
        <w:rPr>
          <w:rFonts w:hint="eastAsia" w:cs="宋体"/>
        </w:rPr>
      </w:pPr>
      <w:r>
        <w:rPr>
          <w:rFonts w:hint="eastAsia" w:cs="宋体"/>
        </w:rPr>
        <w:t>申请精益骨干认证人员须通过精益办组织的对应等级的理论考试，考试合格者可进入下一环节。</w:t>
      </w:r>
    </w:p>
    <w:p w14:paraId="78804217">
      <w:pPr>
        <w:pStyle w:val="39"/>
        <w:spacing w:before="0" w:beforeLines="0" w:after="0" w:afterLines="0"/>
        <w:rPr>
          <w:rFonts w:hint="eastAsia"/>
        </w:rPr>
      </w:pPr>
      <w:r>
        <w:rPr>
          <w:rFonts w:hint="eastAsia"/>
        </w:rPr>
        <w:t xml:space="preserve">4.2.3  </w:t>
      </w:r>
      <w:r>
        <w:rPr>
          <w:rFonts w:hint="eastAsia" w:ascii="宋体" w:hAnsi="宋体" w:eastAsia="宋体"/>
        </w:rPr>
        <w:t>个人总结与自评</w:t>
      </w:r>
    </w:p>
    <w:p w14:paraId="11E09E44">
      <w:pPr>
        <w:ind w:firstLine="560"/>
        <w:rPr>
          <w:rFonts w:hint="eastAsia" w:cs="宋体"/>
        </w:rPr>
      </w:pPr>
      <w:r>
        <w:rPr>
          <w:rFonts w:hint="eastAsia" w:cs="宋体"/>
        </w:rPr>
        <w:t>申请人编写个人总结，填写《精益认证个人自评表》，其中评分举例说明必须填写。申请精益教练、资深教练认证的人员，需同时提交完成的精益课程实训任务。</w:t>
      </w:r>
    </w:p>
    <w:p w14:paraId="6A14171C">
      <w:pPr>
        <w:pStyle w:val="39"/>
        <w:spacing w:before="0" w:beforeLines="0" w:after="0" w:afterLines="0"/>
        <w:rPr>
          <w:rFonts w:hint="eastAsia"/>
        </w:rPr>
      </w:pPr>
      <w:r>
        <w:rPr>
          <w:rFonts w:hint="eastAsia"/>
        </w:rPr>
        <w:t xml:space="preserve">4.2.4  </w:t>
      </w:r>
      <w:r>
        <w:rPr>
          <w:rFonts w:hint="eastAsia" w:ascii="宋体" w:hAnsi="宋体" w:eastAsia="宋体"/>
        </w:rPr>
        <w:t>认证预评价</w:t>
      </w:r>
    </w:p>
    <w:p w14:paraId="1FC78B47">
      <w:pPr>
        <w:ind w:firstLine="560"/>
        <w:rPr>
          <w:rFonts w:hint="eastAsia" w:cs="宋体"/>
        </w:rPr>
      </w:pPr>
      <w:r>
        <w:rPr>
          <w:rFonts w:hint="eastAsia" w:cs="宋体"/>
        </w:rPr>
        <w:t>由申请人所在项目的项目举措负责人、项目关联业务的负责人、项目顾问共3-5人组成预评价小组。预评价小组成员按照申请人在精益项目中的行为、取得成果，从精益方法论、精益管理工具、精益影响力、精益驱动力四个维度进行预评价，填写《精益认证预评价表》。预评价结果作为答辩考察重要的参考资料。</w:t>
      </w:r>
    </w:p>
    <w:p w14:paraId="4536F12B">
      <w:pPr>
        <w:pStyle w:val="39"/>
        <w:spacing w:before="0" w:beforeLines="0" w:after="0" w:afterLines="0"/>
        <w:rPr>
          <w:rFonts w:hint="eastAsia"/>
        </w:rPr>
      </w:pPr>
      <w:r>
        <w:rPr>
          <w:rFonts w:hint="eastAsia"/>
        </w:rPr>
        <w:t xml:space="preserve">4.2.5  </w:t>
      </w:r>
      <w:r>
        <w:rPr>
          <w:rFonts w:hint="eastAsia" w:ascii="宋体" w:hAnsi="宋体" w:eastAsia="宋体"/>
        </w:rPr>
        <w:t>认证评审</w:t>
      </w:r>
    </w:p>
    <w:p w14:paraId="4C8D442A">
      <w:pPr>
        <w:ind w:firstLine="560"/>
        <w:rPr>
          <w:rFonts w:hint="eastAsia" w:cs="宋体"/>
        </w:rPr>
      </w:pPr>
      <w:r>
        <w:rPr>
          <w:rFonts w:hint="eastAsia" w:cs="宋体"/>
        </w:rPr>
        <w:t>申请人参加现场答辩，评委小组由3-5人组成，其中麦肯锡顾问不少于1人。评委小组按照《</w:t>
      </w:r>
      <w:r>
        <w:rPr>
          <w:rFonts w:hint="eastAsia" w:cs="宋体"/>
          <w:szCs w:val="28"/>
        </w:rPr>
        <w:t>精益认证答辩、研讨评价表</w:t>
      </w:r>
      <w:r>
        <w:rPr>
          <w:rFonts w:hint="eastAsia" w:cs="宋体"/>
        </w:rPr>
        <w:t>》，从精益方法论、精益管理工具、精益影响力、精益驱动力四个维度进行提问，考察申请人的精益水平并打分。针对评价结果，评委小组组织专项研讨会，达成共识，形成最终认证意见。各等级认证得分要求如下：</w:t>
      </w:r>
      <w:bookmarkStart w:id="0" w:name="_GoBack"/>
      <w:bookmarkEnd w:id="0"/>
    </w:p>
    <w:p w14:paraId="67CED84F">
      <w:pPr>
        <w:pStyle w:val="32"/>
        <w:numPr>
          <w:ilvl w:val="0"/>
          <w:numId w:val="0"/>
        </w:numPr>
        <w:ind w:left="560" w:leftChars="0"/>
        <w:rPr>
          <w:rFonts w:hint="eastAsia" w:cs="宋体"/>
        </w:rPr>
      </w:pPr>
      <w:r>
        <w:rPr>
          <w:rFonts w:hint="eastAsia" w:cs="宋体"/>
          <w:lang w:val="en-US" w:eastAsia="zh-CN"/>
        </w:rPr>
        <w:t>a</w:t>
      </w:r>
      <w:r>
        <w:rPr>
          <w:rFonts w:hint="eastAsia" w:cs="宋体"/>
        </w:rPr>
        <w:t>)</w:t>
      </w:r>
      <w:r>
        <w:rPr>
          <w:rFonts w:hint="eastAsia" w:cs="宋体"/>
          <w:lang w:val="en-US" w:eastAsia="zh-CN"/>
        </w:rPr>
        <w:t xml:space="preserve">  </w:t>
      </w:r>
      <w:r>
        <w:rPr>
          <w:rFonts w:hint="eastAsia" w:cs="宋体"/>
        </w:rPr>
        <w:t>精益骨干：平均得分≥2.5分，无明显不符合项；</w:t>
      </w:r>
    </w:p>
    <w:p w14:paraId="218CFB8E">
      <w:pPr>
        <w:pStyle w:val="32"/>
        <w:numPr>
          <w:ilvl w:val="0"/>
          <w:numId w:val="0"/>
        </w:numPr>
        <w:ind w:left="560" w:leftChars="0"/>
        <w:rPr>
          <w:rFonts w:hint="eastAsia" w:cs="宋体"/>
        </w:rPr>
      </w:pPr>
      <w:r>
        <w:rPr>
          <w:rFonts w:hint="eastAsia" w:cs="宋体"/>
          <w:lang w:val="en-US" w:eastAsia="zh-CN"/>
        </w:rPr>
        <w:t>b</w:t>
      </w:r>
      <w:r>
        <w:rPr>
          <w:rFonts w:hint="eastAsia" w:cs="宋体"/>
        </w:rPr>
        <w:t>)</w:t>
      </w:r>
      <w:r>
        <w:rPr>
          <w:rFonts w:hint="eastAsia" w:cs="宋体"/>
          <w:lang w:val="en-US" w:eastAsia="zh-CN"/>
        </w:rPr>
        <w:t xml:space="preserve">  </w:t>
      </w:r>
      <w:r>
        <w:rPr>
          <w:rFonts w:hint="eastAsia" w:cs="宋体"/>
        </w:rPr>
        <w:t>精益教练：平均得分≥3.5分，无明显不符合项；</w:t>
      </w:r>
    </w:p>
    <w:p w14:paraId="466A45A3">
      <w:pPr>
        <w:ind w:firstLine="560"/>
        <w:rPr>
          <w:rFonts w:hint="eastAsia" w:cs="宋体"/>
        </w:rPr>
      </w:pPr>
      <w:r>
        <w:rPr>
          <w:rFonts w:hint="eastAsia" w:cs="宋体"/>
        </w:rPr>
        <w:t>c)  资深教练：平均得分≥4.5分，无明显不符合项。</w:t>
      </w:r>
    </w:p>
    <w:p w14:paraId="054D38CD">
      <w:pPr>
        <w:pStyle w:val="39"/>
        <w:spacing w:before="0" w:beforeLines="0" w:after="0" w:afterLines="0"/>
        <w:rPr>
          <w:rFonts w:hint="eastAsia"/>
        </w:rPr>
      </w:pPr>
      <w:r>
        <w:rPr>
          <w:rFonts w:hint="eastAsia"/>
        </w:rPr>
        <w:t xml:space="preserve">4.2.6  </w:t>
      </w:r>
      <w:r>
        <w:rPr>
          <w:rFonts w:hint="eastAsia" w:ascii="宋体" w:hAnsi="宋体" w:eastAsia="宋体"/>
        </w:rPr>
        <w:t>认证结果审批</w:t>
      </w:r>
    </w:p>
    <w:p w14:paraId="73A3F664">
      <w:pPr>
        <w:ind w:firstLine="560"/>
        <w:rPr>
          <w:rFonts w:hint="eastAsia" w:cs="宋体"/>
        </w:rPr>
      </w:pPr>
      <w:r>
        <w:rPr>
          <w:rFonts w:hint="eastAsia" w:cs="宋体"/>
        </w:rPr>
        <w:t>精益办将精益认证意见报总经理审定，审定后将精益认证结果备案，并转人资部作为职务竞聘、晋升对应条件使用。</w:t>
      </w:r>
    </w:p>
    <w:p w14:paraId="65E34583">
      <w:pPr>
        <w:pStyle w:val="39"/>
        <w:spacing w:before="197" w:after="197"/>
        <w:rPr>
          <w:rFonts w:hint="eastAsia"/>
        </w:rPr>
      </w:pPr>
      <w:r>
        <w:rPr>
          <w:rFonts w:hint="eastAsia"/>
        </w:rPr>
        <w:t>5  认证结果应用</w:t>
      </w:r>
    </w:p>
    <w:p w14:paraId="668A7529">
      <w:pPr>
        <w:pStyle w:val="39"/>
        <w:spacing w:before="0" w:beforeLines="0" w:after="0" w:afterLines="0"/>
        <w:rPr>
          <w:rFonts w:hint="eastAsia" w:cs="宋体"/>
        </w:rPr>
      </w:pPr>
      <w:r>
        <w:rPr>
          <w:rFonts w:hint="eastAsia"/>
        </w:rPr>
        <w:t xml:space="preserve">5.1  </w:t>
      </w:r>
      <w:r>
        <w:rPr>
          <w:rFonts w:hint="eastAsia" w:ascii="宋体" w:hAnsi="宋体" w:eastAsia="宋体" w:cs="宋体"/>
          <w:szCs w:val="22"/>
          <w14:ligatures w14:val="standardContextual"/>
        </w:rPr>
        <w:t>职务竞聘、晋升要求：竞聘、晋升科级职务须取得精益骨干及以上认证，竞聘、晋升中层正职（单位负责人）须取得精益教练及以上认证。具体执行日期根据公司决策确定。</w:t>
      </w:r>
    </w:p>
    <w:p w14:paraId="5EA84918">
      <w:pPr>
        <w:widowControl w:val="0"/>
        <w:ind w:firstLine="0" w:firstLineChars="0"/>
        <w:outlineLvl w:val="1"/>
        <w:rPr>
          <w:rFonts w:hint="eastAsia" w:cs="宋体"/>
        </w:rPr>
      </w:pPr>
      <w:r>
        <w:rPr>
          <w:rFonts w:hint="eastAsia" w:ascii="黑体" w:hAnsi="黑体" w:eastAsia="黑体"/>
          <w:szCs w:val="28"/>
          <w14:ligatures w14:val="none"/>
        </w:rPr>
        <w:t>5.2</w:t>
      </w:r>
      <w:r>
        <w:rPr>
          <w:rFonts w:hint="eastAsia"/>
        </w:rPr>
        <w:t xml:space="preserve">  </w:t>
      </w:r>
      <w:r>
        <w:rPr>
          <w:rFonts w:hint="eastAsia" w:cs="宋体"/>
        </w:rPr>
        <w:t>精益办人员要求：精益办人员符合精益骨干认证标准，须参加认证，拒绝参加认证或连续两次认证未通过骨干认证的，返回原单位。</w:t>
      </w:r>
    </w:p>
    <w:p w14:paraId="5ABE7E4E">
      <w:pPr>
        <w:widowControl w:val="0"/>
        <w:ind w:firstLine="0" w:firstLineChars="0"/>
        <w:outlineLvl w:val="1"/>
        <w:rPr>
          <w:rFonts w:hint="eastAsia" w:cs="宋体"/>
        </w:rPr>
      </w:pPr>
    </w:p>
    <w:p w14:paraId="19873E27">
      <w:pPr>
        <w:ind w:firstLine="0" w:firstLineChars="0"/>
        <w:rPr>
          <w:rFonts w:hint="eastAsia" w:cs="宋体"/>
        </w:rPr>
      </w:pPr>
      <w:r>
        <w:rPr>
          <w:sz w:val="24"/>
        </w:rPr>
        <w:pict>
          <v:rect id="_x0000_i1025" o:spt="1" style="height:1.5pt;width:28.4pt;" fillcolor="#000000" filled="t" stroked="f" coordsize="21600,21600" o:hr="t" o:hrstd="t" o:hrnoshade="t" o:hrpct="25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417" w:bottom="1417" w:left="1417" w:header="851" w:footer="992" w:gutter="0"/>
      <w:pgNumType w:fmt="decimal"/>
      <w:cols w:space="0" w:num="1"/>
      <w:docGrid w:type="lines" w:linePitch="39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77185">
    <w:pPr>
      <w:pStyle w:val="11"/>
      <w:ind w:firstLine="36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2585720</wp:posOffset>
              </wp:positionH>
              <wp:positionV relativeFrom="paragraph">
                <wp:posOffset>-6985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DFE2F">
                          <w:pPr>
                            <w:pStyle w:val="11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6pt;margin-top:-0.5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joTctgAAAAKAQAADwAAAAAAAAABACAAAAAiAAAAZHJzL2Rvd25yZXYueG1s&#10;UEsBAhQAFAAAAAgAh07iQGuF+fsxAgAAYQ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9DFE2F">
                    <w:pPr>
                      <w:pStyle w:val="11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0F758"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0664E"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3E7D4">
    <w:pPr>
      <w:pStyle w:val="12"/>
      <w:keepNext w:val="0"/>
      <w:keepLines w:val="0"/>
      <w:pageBreakBefore w:val="0"/>
      <w:widowControl/>
      <w:pBdr>
        <w:bottom w:val="single" w:color="auto" w:sz="4" w:space="0"/>
      </w:pBdr>
      <w:kinsoku/>
      <w:wordWrap/>
      <w:overflowPunct/>
      <w:topLinePunct w:val="0"/>
      <w:bidi w:val="0"/>
      <w:adjustRightInd/>
      <w:snapToGrid w:val="0"/>
      <w:spacing w:line="300" w:lineRule="atLeast"/>
      <w:ind w:firstLine="360"/>
      <w:jc w:val="right"/>
      <w:textAlignment w:val="auto"/>
      <w:rPr>
        <w:rFonts w:hint="eastAsia" w:ascii="黑体" w:hAnsi="黑体" w:eastAsia="黑体" w:cs="黑体"/>
        <w:sz w:val="24"/>
        <w:szCs w:val="24"/>
        <w:lang w:eastAsia="zh-CN"/>
      </w:rPr>
    </w:pPr>
    <w:r>
      <w:rPr>
        <w:rFonts w:hint="eastAsia" w:ascii="黑体" w:hAnsi="黑体" w:eastAsia="黑体" w:cs="黑体"/>
        <w:sz w:val="24"/>
        <w:szCs w:val="24"/>
        <w:lang w:eastAsia="zh-CN"/>
      </w:rPr>
      <w:t>标准编码：</w:t>
    </w:r>
    <w:r>
      <w:rPr>
        <w:rFonts w:hint="eastAsia" w:ascii="黑体" w:hAnsi="黑体" w:eastAsia="黑体" w:cs="黑体"/>
        <w:sz w:val="24"/>
        <w:szCs w:val="24"/>
      </w:rPr>
      <w:t>QB/ST-BZ06-012-202</w:t>
    </w:r>
    <w:r>
      <w:rPr>
        <w:rFonts w:hint="eastAsia" w:ascii="黑体" w:hAnsi="黑体" w:eastAsia="黑体" w:cs="黑体"/>
        <w:sz w:val="24"/>
        <w:szCs w:val="24"/>
        <w:lang w:val="en-US" w:eastAsia="zh-CN"/>
      </w:rPr>
      <w:t>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8747F"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E3362">
    <w:pPr>
      <w:pStyle w:val="12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40"/>
  <w:drawingGridVerticalSpacing w:val="197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15"/>
    <w:rsid w:val="0000417C"/>
    <w:rsid w:val="00010318"/>
    <w:rsid w:val="00025878"/>
    <w:rsid w:val="00083899"/>
    <w:rsid w:val="000B7DEF"/>
    <w:rsid w:val="000D2D50"/>
    <w:rsid w:val="000E7538"/>
    <w:rsid w:val="000F2FC5"/>
    <w:rsid w:val="0011632E"/>
    <w:rsid w:val="0016789A"/>
    <w:rsid w:val="001A3AB1"/>
    <w:rsid w:val="00210ADD"/>
    <w:rsid w:val="0022283F"/>
    <w:rsid w:val="002439F0"/>
    <w:rsid w:val="002518B2"/>
    <w:rsid w:val="00273EC8"/>
    <w:rsid w:val="00276CF2"/>
    <w:rsid w:val="002908E5"/>
    <w:rsid w:val="00295B44"/>
    <w:rsid w:val="002B3F33"/>
    <w:rsid w:val="002E0486"/>
    <w:rsid w:val="002E1DDA"/>
    <w:rsid w:val="002E5347"/>
    <w:rsid w:val="002F1111"/>
    <w:rsid w:val="003217A4"/>
    <w:rsid w:val="0032238F"/>
    <w:rsid w:val="003660AA"/>
    <w:rsid w:val="00384A4C"/>
    <w:rsid w:val="00386FD9"/>
    <w:rsid w:val="00394DFF"/>
    <w:rsid w:val="003A5754"/>
    <w:rsid w:val="003A76E4"/>
    <w:rsid w:val="00441FE1"/>
    <w:rsid w:val="00460457"/>
    <w:rsid w:val="004606FF"/>
    <w:rsid w:val="004608E8"/>
    <w:rsid w:val="004926AE"/>
    <w:rsid w:val="004961A5"/>
    <w:rsid w:val="004C28FB"/>
    <w:rsid w:val="004E04AF"/>
    <w:rsid w:val="00502C35"/>
    <w:rsid w:val="005461D1"/>
    <w:rsid w:val="00562C4F"/>
    <w:rsid w:val="005925F6"/>
    <w:rsid w:val="005E7F58"/>
    <w:rsid w:val="00601367"/>
    <w:rsid w:val="0061293D"/>
    <w:rsid w:val="006571C8"/>
    <w:rsid w:val="006576C0"/>
    <w:rsid w:val="006721A4"/>
    <w:rsid w:val="006803C7"/>
    <w:rsid w:val="006A3C88"/>
    <w:rsid w:val="006B63A7"/>
    <w:rsid w:val="006F7551"/>
    <w:rsid w:val="00714172"/>
    <w:rsid w:val="00792FB1"/>
    <w:rsid w:val="007B1EB9"/>
    <w:rsid w:val="007D691E"/>
    <w:rsid w:val="008751F5"/>
    <w:rsid w:val="00875AC2"/>
    <w:rsid w:val="00896146"/>
    <w:rsid w:val="0089626D"/>
    <w:rsid w:val="008E1708"/>
    <w:rsid w:val="00922230"/>
    <w:rsid w:val="00936107"/>
    <w:rsid w:val="00955241"/>
    <w:rsid w:val="00987BD5"/>
    <w:rsid w:val="009A21B7"/>
    <w:rsid w:val="009F5247"/>
    <w:rsid w:val="00A10BB5"/>
    <w:rsid w:val="00A2238F"/>
    <w:rsid w:val="00A46D37"/>
    <w:rsid w:val="00A5198C"/>
    <w:rsid w:val="00A6522D"/>
    <w:rsid w:val="00A7018F"/>
    <w:rsid w:val="00AB1016"/>
    <w:rsid w:val="00AE07D7"/>
    <w:rsid w:val="00AF0402"/>
    <w:rsid w:val="00B113EB"/>
    <w:rsid w:val="00B21093"/>
    <w:rsid w:val="00B24AFE"/>
    <w:rsid w:val="00B56287"/>
    <w:rsid w:val="00B62D2D"/>
    <w:rsid w:val="00BB2057"/>
    <w:rsid w:val="00BB53DA"/>
    <w:rsid w:val="00BC1741"/>
    <w:rsid w:val="00BD69D7"/>
    <w:rsid w:val="00BE47A4"/>
    <w:rsid w:val="00BF0354"/>
    <w:rsid w:val="00BF06FF"/>
    <w:rsid w:val="00C256FD"/>
    <w:rsid w:val="00C2667F"/>
    <w:rsid w:val="00C77162"/>
    <w:rsid w:val="00C77615"/>
    <w:rsid w:val="00C91AD8"/>
    <w:rsid w:val="00CA3AA9"/>
    <w:rsid w:val="00CB4DAB"/>
    <w:rsid w:val="00CC16AF"/>
    <w:rsid w:val="00CE5626"/>
    <w:rsid w:val="00D2344D"/>
    <w:rsid w:val="00D35BFA"/>
    <w:rsid w:val="00D40939"/>
    <w:rsid w:val="00DC2FDE"/>
    <w:rsid w:val="00DF0898"/>
    <w:rsid w:val="00E120FE"/>
    <w:rsid w:val="00E84AEB"/>
    <w:rsid w:val="00E87756"/>
    <w:rsid w:val="00EE1A3B"/>
    <w:rsid w:val="00EE220A"/>
    <w:rsid w:val="00EF2F0D"/>
    <w:rsid w:val="00EF3D1F"/>
    <w:rsid w:val="00F03BE0"/>
    <w:rsid w:val="00F17223"/>
    <w:rsid w:val="00F20D2A"/>
    <w:rsid w:val="00F46137"/>
    <w:rsid w:val="00F51A26"/>
    <w:rsid w:val="00FC21A6"/>
    <w:rsid w:val="00FC5A99"/>
    <w:rsid w:val="00FD5994"/>
    <w:rsid w:val="00FF0DDD"/>
    <w:rsid w:val="0A79472F"/>
    <w:rsid w:val="103709CC"/>
    <w:rsid w:val="105B3FD6"/>
    <w:rsid w:val="1AD5775F"/>
    <w:rsid w:val="218F3197"/>
    <w:rsid w:val="270D0281"/>
    <w:rsid w:val="2D291C02"/>
    <w:rsid w:val="300C557A"/>
    <w:rsid w:val="374328E1"/>
    <w:rsid w:val="506D7517"/>
    <w:rsid w:val="554D7917"/>
    <w:rsid w:val="649A6779"/>
    <w:rsid w:val="6DB66549"/>
    <w:rsid w:val="73A3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00" w:lineRule="exact"/>
      <w:ind w:firstLine="200" w:firstLineChars="200"/>
      <w:jc w:val="both"/>
    </w:pPr>
    <w:rPr>
      <w:rFonts w:ascii="宋体" w:hAnsi="宋体" w:eastAsia="宋体" w:cstheme="minorBidi"/>
      <w:kern w:val="2"/>
      <w:sz w:val="28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560"/>
      <w:jc w:val="left"/>
    </w:pPr>
    <w:rPr>
      <w:rFonts w:cs="宋体"/>
      <w:kern w:val="0"/>
      <w:sz w:val="24"/>
      <w:szCs w:val="24"/>
      <w14:ligatures w14:val="none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autoRedefine/>
    <w:qFormat/>
    <w:uiPriority w:val="39"/>
    <w:rPr>
      <w:rFonts w:ascii="Times New Roman" w:hAnsi="Times New Roman" w:eastAsia="宋体" w:cs="Times New Roman"/>
      <w:kern w:val="0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99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  <w:szCs w:val="18"/>
    </w:rPr>
  </w:style>
  <w:style w:type="paragraph" w:customStyle="1" w:styleId="39">
    <w:name w:val="标题1"/>
    <w:basedOn w:val="1"/>
    <w:link w:val="40"/>
    <w:autoRedefine/>
    <w:qFormat/>
    <w:uiPriority w:val="0"/>
    <w:pPr>
      <w:widowControl w:val="0"/>
      <w:spacing w:before="156" w:beforeLines="50" w:after="156" w:afterLines="50"/>
      <w:ind w:firstLine="0" w:firstLineChars="0"/>
      <w:jc w:val="left"/>
    </w:pPr>
    <w:rPr>
      <w:rFonts w:ascii="黑体" w:hAnsi="黑体" w:eastAsia="黑体"/>
      <w:szCs w:val="28"/>
      <w14:ligatures w14:val="none"/>
    </w:rPr>
  </w:style>
  <w:style w:type="character" w:customStyle="1" w:styleId="40">
    <w:name w:val="标题1 字符"/>
    <w:basedOn w:val="18"/>
    <w:link w:val="39"/>
    <w:autoRedefine/>
    <w:qFormat/>
    <w:uiPriority w:val="0"/>
    <w:rPr>
      <w:rFonts w:ascii="黑体" w:hAnsi="黑体" w:eastAsia="黑体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1676</Words>
  <Characters>1773</Characters>
  <Lines>15</Lines>
  <Paragraphs>4</Paragraphs>
  <TotalTime>2</TotalTime>
  <ScaleCrop>false</ScaleCrop>
  <LinksUpToDate>false</LinksUpToDate>
  <CharactersWithSpaces>1837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2025-02-21T00:56:00Z</dcterms:created>
  <dc:creator>Administrator</dc:creator>
  <cp:lastModifiedBy>高玉宝-时空隧道</cp:lastModifiedBy>
  <dcterms:modified xsi:type="dcterms:W3CDTF">2025-03-07T00:07:53Z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eyJoZGlkIjoiNmVlZTU1YmU4YTJkYzU2NDNmZTI3YzBhZDkwZGYxM2QiLCJ1c2VySWQiOiIzNTYwOTE1MjcifQ==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E94D2404B60D4B7199FBA52B4CEB4BB4_12</vt:lpwstr>
  </property>
</Properties>
</file>