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297CB">
      <w:pPr>
        <w:pStyle w:val="31"/>
        <w:jc w:val="center"/>
      </w:pPr>
      <w:r>
        <w:t>雅思口语模块调用流程与组件关系说明</w:t>
      </w:r>
    </w:p>
    <w:p w14:paraId="522C0D69">
      <w:pPr>
        <w:pStyle w:val="26"/>
        <w:jc w:val="center"/>
      </w:pPr>
      <w:r>
        <w:t>基于 AI 场景公共会话框架改造｜覆盖启动、实时语音、考试状态、Turn 采集、异步评分与异常处理</w:t>
      </w:r>
    </w:p>
    <w:p w14:paraId="3F17F374"/>
    <w:p w14:paraId="30C2E3D8">
      <w:pPr>
        <w:jc w:val="center"/>
      </w:pPr>
      <w:r>
        <w:rPr>
          <w:b/>
          <w:sz w:val="24"/>
        </w:rPr>
        <w:t>文档定位：供架构设计、模块拆分、接口定义和后续伪代码编写使用。</w:t>
      </w:r>
    </w:p>
    <w:p w14:paraId="0C1A09D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4FDCC058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7754691B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覆盖范围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1CF8E434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788C596C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最终产出</w:t>
            </w:r>
          </w:p>
        </w:tc>
      </w:tr>
      <w:tr w14:paraId="5BB8D768">
        <w:trPr>
          <w:jc w:val="center"/>
        </w:trPr>
        <w:tc>
          <w:tcPr>
            <w:tcW w:w="5046" w:type="dxa"/>
            <w:vAlign w:val="center"/>
          </w:tcPr>
          <w:p w14:paraId="1DB91E6E">
            <w:pPr>
              <w:spacing w:after="0" w:line="240" w:lineRule="auto"/>
            </w:pPr>
            <w:r>
              <w:rPr>
                <w:sz w:val="18"/>
              </w:rPr>
              <w:t>会话与考试流程</w:t>
            </w:r>
          </w:p>
        </w:tc>
        <w:tc>
          <w:tcPr>
            <w:tcW w:w="5046" w:type="dxa"/>
            <w:vAlign w:val="center"/>
          </w:tcPr>
          <w:p w14:paraId="74AB74F4">
            <w:pPr>
              <w:spacing w:after="0" w:line="240" w:lineRule="auto"/>
            </w:pPr>
            <w:r>
              <w:rPr>
                <w:sz w:val="18"/>
              </w:rPr>
              <w:t>启动、状态机、Part 推进、Turn 采集</w:t>
            </w:r>
          </w:p>
        </w:tc>
        <w:tc>
          <w:tcPr>
            <w:tcW w:w="5046" w:type="dxa"/>
            <w:vAlign w:val="center"/>
          </w:tcPr>
          <w:p w14:paraId="099ECB97">
            <w:pPr>
              <w:spacing w:after="0" w:line="240" w:lineRule="auto"/>
            </w:pPr>
            <w:r>
              <w:rPr>
                <w:sz w:val="18"/>
              </w:rPr>
              <w:t>清晰的调用链和职责边界</w:t>
            </w:r>
          </w:p>
        </w:tc>
      </w:tr>
      <w:tr w14:paraId="4B36B329">
        <w:trPr>
          <w:jc w:val="center"/>
        </w:trPr>
        <w:tc>
          <w:tcPr>
            <w:tcW w:w="5046" w:type="dxa"/>
            <w:vAlign w:val="center"/>
          </w:tcPr>
          <w:p w14:paraId="413DB96F">
            <w:pPr>
              <w:spacing w:after="0" w:line="240" w:lineRule="auto"/>
            </w:pPr>
            <w:r>
              <w:rPr>
                <w:sz w:val="18"/>
              </w:rPr>
              <w:t>实时语音链路</w:t>
            </w:r>
          </w:p>
        </w:tc>
        <w:tc>
          <w:tcPr>
            <w:tcW w:w="5046" w:type="dxa"/>
            <w:vAlign w:val="center"/>
          </w:tcPr>
          <w:p w14:paraId="70E36FFB">
            <w:pPr>
              <w:spacing w:after="0" w:line="240" w:lineRule="auto"/>
            </w:pPr>
            <w:r>
              <w:rPr>
                <w:sz w:val="18"/>
              </w:rPr>
              <w:t>Qwen Realtime、ASR/VAD、PCM 双路</w:t>
            </w:r>
          </w:p>
        </w:tc>
        <w:tc>
          <w:tcPr>
            <w:tcW w:w="5046" w:type="dxa"/>
            <w:vAlign w:val="center"/>
          </w:tcPr>
          <w:p w14:paraId="53866C3D">
            <w:pPr>
              <w:spacing w:after="0" w:line="240" w:lineRule="auto"/>
            </w:pPr>
            <w:r>
              <w:rPr>
                <w:sz w:val="18"/>
              </w:rPr>
              <w:t>客户端与后端接口关系</w:t>
            </w:r>
          </w:p>
        </w:tc>
      </w:tr>
      <w:tr w14:paraId="69549F61">
        <w:trPr>
          <w:jc w:val="center"/>
        </w:trPr>
        <w:tc>
          <w:tcPr>
            <w:tcW w:w="5046" w:type="dxa"/>
            <w:vAlign w:val="center"/>
          </w:tcPr>
          <w:p w14:paraId="6A0445CA">
            <w:pPr>
              <w:spacing w:after="0" w:line="240" w:lineRule="auto"/>
            </w:pPr>
            <w:r>
              <w:rPr>
                <w:sz w:val="18"/>
              </w:rPr>
              <w:t>考后评分链路</w:t>
            </w:r>
          </w:p>
        </w:tc>
        <w:tc>
          <w:tcPr>
            <w:tcW w:w="5046" w:type="dxa"/>
            <w:vAlign w:val="center"/>
          </w:tcPr>
          <w:p w14:paraId="37E2E9D3">
            <w:pPr>
              <w:spacing w:after="0" w:line="240" w:lineRule="auto"/>
            </w:pPr>
            <w:r>
              <w:rPr>
                <w:sz w:val="18"/>
              </w:rPr>
              <w:t>千问、讯飞、Java Band Calculator</w:t>
            </w:r>
          </w:p>
        </w:tc>
        <w:tc>
          <w:tcPr>
            <w:tcW w:w="5046" w:type="dxa"/>
            <w:vAlign w:val="center"/>
          </w:tcPr>
          <w:p w14:paraId="0A41F18A">
            <w:pPr>
              <w:spacing w:after="0" w:line="240" w:lineRule="auto"/>
            </w:pPr>
            <w:r>
              <w:rPr>
                <w:sz w:val="18"/>
              </w:rPr>
              <w:t>异步评分、报告和降级规则</w:t>
            </w:r>
          </w:p>
        </w:tc>
      </w:tr>
    </w:tbl>
    <w:p w14:paraId="5D909440">
      <w:pPr>
        <w:spacing w:after="0"/>
      </w:pPr>
    </w:p>
    <w:p w14:paraId="6B02BADD">
      <w:pPr>
        <w:spacing w:after="80" w:line="276" w:lineRule="auto"/>
      </w:pPr>
      <w:r>
        <w:t>核心原则：题目、题序、计时和 Part 切换由确定性的考试状态机控制；模型只负责语音交互和结构化评分。</w:t>
      </w:r>
    </w:p>
    <w:p w14:paraId="0D3D9D3F">
      <w:r>
        <w:br w:type="page"/>
      </w:r>
    </w:p>
    <w:p w14:paraId="44476DA5">
      <w:pPr>
        <w:pStyle w:val="3"/>
      </w:pPr>
      <w:r>
        <w:t>1. 文档说明与阅读方式</w:t>
      </w:r>
    </w:p>
    <w:p w14:paraId="11D8347A">
      <w:pPr>
        <w:spacing w:after="80" w:line="276" w:lineRule="auto"/>
      </w:pPr>
      <w:r>
        <w:t>本文档重点回答四类问题：组件之间谁依赖谁、一次雅思会话如何启动、考试过程中事件怎样推进、考试结束后评分怎样异步完成。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59A12A94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419808FB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40DFCB96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主要问题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65B6CAA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建议读者</w:t>
            </w:r>
          </w:p>
        </w:tc>
      </w:tr>
      <w:tr w14:paraId="72D98A9C">
        <w:trPr>
          <w:jc w:val="center"/>
        </w:trPr>
        <w:tc>
          <w:tcPr>
            <w:tcW w:w="5046" w:type="dxa"/>
            <w:vAlign w:val="center"/>
          </w:tcPr>
          <w:p w14:paraId="2802A00F">
            <w:pPr>
              <w:spacing w:after="0" w:line="240" w:lineRule="auto"/>
            </w:pPr>
            <w:r>
              <w:rPr>
                <w:sz w:val="18"/>
              </w:rPr>
              <w:t>2～3</w:t>
            </w:r>
          </w:p>
        </w:tc>
        <w:tc>
          <w:tcPr>
            <w:tcW w:w="5046" w:type="dxa"/>
            <w:vAlign w:val="center"/>
          </w:tcPr>
          <w:p w14:paraId="52D457E1">
            <w:pPr>
              <w:spacing w:after="0" w:line="240" w:lineRule="auto"/>
            </w:pPr>
            <w:r>
              <w:rPr>
                <w:sz w:val="18"/>
              </w:rPr>
              <w:t>总体结构、分层与组件依赖</w:t>
            </w:r>
          </w:p>
        </w:tc>
        <w:tc>
          <w:tcPr>
            <w:tcW w:w="5046" w:type="dxa"/>
            <w:vAlign w:val="center"/>
          </w:tcPr>
          <w:p w14:paraId="6BFC3903">
            <w:pPr>
              <w:spacing w:after="0" w:line="240" w:lineRule="auto"/>
            </w:pPr>
            <w:r>
              <w:rPr>
                <w:sz w:val="18"/>
              </w:rPr>
              <w:t>架构设计、后端负责人</w:t>
            </w:r>
          </w:p>
        </w:tc>
      </w:tr>
      <w:tr w14:paraId="1DB0ED50">
        <w:trPr>
          <w:jc w:val="center"/>
        </w:trPr>
        <w:tc>
          <w:tcPr>
            <w:tcW w:w="5046" w:type="dxa"/>
            <w:vAlign w:val="center"/>
          </w:tcPr>
          <w:p w14:paraId="5C6F01F5">
            <w:pPr>
              <w:spacing w:after="0" w:line="240" w:lineRule="auto"/>
            </w:pPr>
            <w:r>
              <w:rPr>
                <w:sz w:val="18"/>
              </w:rPr>
              <w:t>4～8</w:t>
            </w:r>
          </w:p>
        </w:tc>
        <w:tc>
          <w:tcPr>
            <w:tcW w:w="5046" w:type="dxa"/>
            <w:vAlign w:val="center"/>
          </w:tcPr>
          <w:p w14:paraId="14DD427D">
            <w:pPr>
              <w:spacing w:after="0" w:line="240" w:lineRule="auto"/>
            </w:pPr>
            <w:r>
              <w:rPr>
                <w:sz w:val="18"/>
              </w:rPr>
              <w:t>启动、考试状态、语音与 Turn 采集</w:t>
            </w:r>
          </w:p>
        </w:tc>
        <w:tc>
          <w:tcPr>
            <w:tcW w:w="5046" w:type="dxa"/>
            <w:vAlign w:val="center"/>
          </w:tcPr>
          <w:p w14:paraId="69DCE029">
            <w:pPr>
              <w:spacing w:after="0" w:line="240" w:lineRule="auto"/>
            </w:pPr>
            <w:r>
              <w:rPr>
                <w:sz w:val="18"/>
              </w:rPr>
              <w:t>前端、Realtime、后端开发</w:t>
            </w:r>
          </w:p>
        </w:tc>
      </w:tr>
      <w:tr w14:paraId="140DDC3F">
        <w:trPr>
          <w:jc w:val="center"/>
        </w:trPr>
        <w:tc>
          <w:tcPr>
            <w:tcW w:w="5046" w:type="dxa"/>
            <w:vAlign w:val="center"/>
          </w:tcPr>
          <w:p w14:paraId="332A5116">
            <w:pPr>
              <w:spacing w:after="0" w:line="240" w:lineRule="auto"/>
            </w:pPr>
            <w:r>
              <w:rPr>
                <w:sz w:val="18"/>
              </w:rPr>
              <w:t>9～11</w:t>
            </w:r>
          </w:p>
        </w:tc>
        <w:tc>
          <w:tcPr>
            <w:tcW w:w="5046" w:type="dxa"/>
            <w:vAlign w:val="center"/>
          </w:tcPr>
          <w:p w14:paraId="0EAEE526">
            <w:pPr>
              <w:spacing w:after="0" w:line="240" w:lineRule="auto"/>
            </w:pPr>
            <w:r>
              <w:rPr>
                <w:sz w:val="18"/>
              </w:rPr>
              <w:t>评分、报告与异常降级</w:t>
            </w:r>
          </w:p>
        </w:tc>
        <w:tc>
          <w:tcPr>
            <w:tcW w:w="5046" w:type="dxa"/>
            <w:vAlign w:val="center"/>
          </w:tcPr>
          <w:p w14:paraId="03689CCE">
            <w:pPr>
              <w:spacing w:after="0" w:line="240" w:lineRule="auto"/>
            </w:pPr>
            <w:r>
              <w:rPr>
                <w:sz w:val="18"/>
              </w:rPr>
              <w:t>评分链路、测试、产品</w:t>
            </w:r>
          </w:p>
        </w:tc>
      </w:tr>
      <w:tr w14:paraId="32D694EC">
        <w:trPr>
          <w:jc w:val="center"/>
        </w:trPr>
        <w:tc>
          <w:tcPr>
            <w:tcW w:w="5046" w:type="dxa"/>
            <w:vAlign w:val="center"/>
          </w:tcPr>
          <w:p w14:paraId="05A28D37">
            <w:pPr>
              <w:spacing w:after="0" w:line="240" w:lineRule="auto"/>
            </w:pPr>
            <w:r>
              <w:rPr>
                <w:sz w:val="18"/>
              </w:rPr>
              <w:t>12～14</w:t>
            </w:r>
          </w:p>
        </w:tc>
        <w:tc>
          <w:tcPr>
            <w:tcW w:w="5046" w:type="dxa"/>
            <w:vAlign w:val="center"/>
          </w:tcPr>
          <w:p w14:paraId="0E0B80B3">
            <w:pPr>
              <w:spacing w:after="0" w:line="240" w:lineRule="auto"/>
            </w:pPr>
            <w:r>
              <w:rPr>
                <w:sz w:val="18"/>
              </w:rPr>
              <w:t>对象、ID、复用关系与开发顺序</w:t>
            </w:r>
          </w:p>
        </w:tc>
        <w:tc>
          <w:tcPr>
            <w:tcW w:w="5046" w:type="dxa"/>
            <w:vAlign w:val="center"/>
          </w:tcPr>
          <w:p w14:paraId="2B89DD4F">
            <w:pPr>
              <w:spacing w:after="0" w:line="240" w:lineRule="auto"/>
            </w:pPr>
            <w:r>
              <w:rPr>
                <w:sz w:val="18"/>
              </w:rPr>
              <w:t>数据库、计费、伪代码设计</w:t>
            </w:r>
          </w:p>
        </w:tc>
      </w:tr>
    </w:tbl>
    <w:p w14:paraId="2664A994">
      <w:pPr>
        <w:spacing w:after="0"/>
      </w:pPr>
    </w:p>
    <w:p w14:paraId="1E9030C4">
      <w:pPr>
        <w:spacing w:after="80" w:line="276" w:lineRule="auto"/>
      </w:pPr>
      <w:r>
        <w:t>标记约定：</w:t>
      </w:r>
    </w:p>
    <w:p w14:paraId="54C54EC9">
      <w:pPr>
        <w:pStyle w:val="16"/>
        <w:spacing w:after="40"/>
      </w:pPr>
      <w:r>
        <w:t>【复用】：自由聊天模块已有公共能力，雅思直接使用。</w:t>
      </w:r>
    </w:p>
    <w:p w14:paraId="52E615E1">
      <w:pPr>
        <w:pStyle w:val="16"/>
        <w:spacing w:after="40"/>
      </w:pPr>
      <w:r>
        <w:t>【复用并扩展】：公共实现保留，但要增加雅思事件、参数或返回字段。</w:t>
      </w:r>
    </w:p>
    <w:p w14:paraId="02F54D48">
      <w:pPr>
        <w:pStyle w:val="16"/>
        <w:spacing w:after="40"/>
      </w:pPr>
      <w:r>
        <w:t>【雅思新增 / 替换】：雅思模拟考试特有模块。</w:t>
      </w:r>
    </w:p>
    <w:p w14:paraId="738630B0">
      <w:pPr>
        <w:pStyle w:val="16"/>
        <w:spacing w:after="40"/>
      </w:pPr>
      <w:r>
        <w:t>【规划】：当前 Demo 尚未真正持久化，正式产品建议补充。</w:t>
      </w:r>
    </w:p>
    <w:p w14:paraId="7ED65FBB">
      <w:pPr>
        <w:spacing w:after="80" w:line="276" w:lineRule="auto"/>
      </w:pPr>
      <w:r>
        <w:t>核心设计原则：考试题目、题序、计时和 Part 切换由确定性的状态机控制；模型只负责考官语音、ASR/VAD 和结构化评分，不拥有考试流程控制权。</w:t>
      </w:r>
    </w:p>
    <w:p w14:paraId="6CBAE2C1">
      <w:r>
        <w:br w:type="page"/>
      </w:r>
    </w:p>
    <w:p w14:paraId="0431A537">
      <w:pPr>
        <w:pStyle w:val="3"/>
      </w:pPr>
      <w:r>
        <w:t>2. 总体架构与三条核心链路</w:t>
      </w:r>
    </w:p>
    <w:p w14:paraId="6639DADF">
      <w:pPr>
        <w:spacing w:after="60"/>
        <w:jc w:val="center"/>
      </w:pPr>
      <w:r>
        <w:drawing>
          <wp:inline distT="0" distB="0" distL="114300" distR="114300">
            <wp:extent cx="8001000" cy="4502785"/>
            <wp:effectExtent l="0" t="0" r="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50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A241">
      <w:pPr>
        <w:spacing w:after="160"/>
        <w:jc w:val="center"/>
      </w:pPr>
      <w:r>
        <w:rPr>
          <w:i/>
          <w:color w:val="6B7280"/>
          <w:sz w:val="18"/>
        </w:rPr>
        <w:t>图 2  总体架构：前端考试编排、Realtime 实时语音、Java 考后评分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408967CB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43A34548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链路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7B5C3F1B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主要职责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4909231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核心组件</w:t>
            </w:r>
          </w:p>
        </w:tc>
      </w:tr>
      <w:tr w14:paraId="261ABFAC">
        <w:trPr>
          <w:jc w:val="center"/>
        </w:trPr>
        <w:tc>
          <w:tcPr>
            <w:tcW w:w="5046" w:type="dxa"/>
            <w:vAlign w:val="center"/>
          </w:tcPr>
          <w:p w14:paraId="6809D19C">
            <w:pPr>
              <w:spacing w:after="0" w:line="240" w:lineRule="auto"/>
            </w:pPr>
            <w:r>
              <w:rPr>
                <w:sz w:val="18"/>
              </w:rPr>
              <w:t>考试编排链路</w:t>
            </w:r>
          </w:p>
        </w:tc>
        <w:tc>
          <w:tcPr>
            <w:tcW w:w="5046" w:type="dxa"/>
            <w:vAlign w:val="center"/>
          </w:tcPr>
          <w:p w14:paraId="7969924D">
            <w:pPr>
              <w:spacing w:after="0" w:line="240" w:lineRule="auto"/>
            </w:pPr>
            <w:r>
              <w:rPr>
                <w:sz w:val="18"/>
              </w:rPr>
              <w:t>组卷、状态机、计时、题目切换、回答提交</w:t>
            </w:r>
          </w:p>
        </w:tc>
        <w:tc>
          <w:tcPr>
            <w:tcW w:w="5046" w:type="dxa"/>
            <w:vAlign w:val="center"/>
          </w:tcPr>
          <w:p w14:paraId="281ED031">
            <w:pPr>
              <w:spacing w:after="0" w:line="240" w:lineRule="auto"/>
            </w:pPr>
            <w:r>
              <w:rPr>
                <w:sz w:val="18"/>
              </w:rPr>
              <w:t>QuestionBank、PaperAssembler、ExamFlow、前端 Controller</w:t>
            </w:r>
          </w:p>
        </w:tc>
      </w:tr>
      <w:tr w14:paraId="32C62C36">
        <w:trPr>
          <w:jc w:val="center"/>
        </w:trPr>
        <w:tc>
          <w:tcPr>
            <w:tcW w:w="5046" w:type="dxa"/>
            <w:vAlign w:val="center"/>
          </w:tcPr>
          <w:p w14:paraId="33FA89EC">
            <w:pPr>
              <w:spacing w:after="0" w:line="240" w:lineRule="auto"/>
            </w:pPr>
            <w:r>
              <w:rPr>
                <w:sz w:val="18"/>
              </w:rPr>
              <w:t>实时语音链路</w:t>
            </w:r>
          </w:p>
        </w:tc>
        <w:tc>
          <w:tcPr>
            <w:tcW w:w="5046" w:type="dxa"/>
            <w:vAlign w:val="center"/>
          </w:tcPr>
          <w:p w14:paraId="3F2B7E73">
            <w:pPr>
              <w:spacing w:after="0" w:line="240" w:lineRule="auto"/>
            </w:pPr>
            <w:r>
              <w:rPr>
                <w:sz w:val="18"/>
              </w:rPr>
              <w:t>考官播报、ASR、VAD、同一麦克风双路传输</w:t>
            </w:r>
          </w:p>
        </w:tc>
        <w:tc>
          <w:tcPr>
            <w:tcW w:w="5046" w:type="dxa"/>
            <w:vAlign w:val="center"/>
          </w:tcPr>
          <w:p w14:paraId="7CC69D1D">
            <w:pPr>
              <w:spacing w:after="0" w:line="240" w:lineRule="auto"/>
            </w:pPr>
            <w:r>
              <w:rPr>
                <w:sz w:val="18"/>
              </w:rPr>
              <w:t>Qwen Realtime、VoiceController、PCM Streamer</w:t>
            </w:r>
          </w:p>
        </w:tc>
      </w:tr>
      <w:tr w14:paraId="26F19DBC">
        <w:trPr>
          <w:jc w:val="center"/>
        </w:trPr>
        <w:tc>
          <w:tcPr>
            <w:tcW w:w="5046" w:type="dxa"/>
            <w:vAlign w:val="center"/>
          </w:tcPr>
          <w:p w14:paraId="066B0933">
            <w:pPr>
              <w:spacing w:after="0" w:line="240" w:lineRule="auto"/>
            </w:pPr>
            <w:r>
              <w:rPr>
                <w:sz w:val="18"/>
              </w:rPr>
              <w:t>考后评分链路</w:t>
            </w:r>
          </w:p>
        </w:tc>
        <w:tc>
          <w:tcPr>
            <w:tcW w:w="5046" w:type="dxa"/>
            <w:vAlign w:val="center"/>
          </w:tcPr>
          <w:p w14:paraId="7E8681A5">
            <w:pPr>
              <w:spacing w:after="0" w:line="240" w:lineRule="auto"/>
            </w:pPr>
            <w:r>
              <w:rPr>
                <w:sz w:val="18"/>
              </w:rPr>
              <w:t>Turn 组装、语言/发音证据、Overall、报告</w:t>
            </w:r>
          </w:p>
        </w:tc>
        <w:tc>
          <w:tcPr>
            <w:tcW w:w="5046" w:type="dxa"/>
            <w:vAlign w:val="center"/>
          </w:tcPr>
          <w:p w14:paraId="6C64FC10">
            <w:pPr>
              <w:spacing w:after="0" w:line="240" w:lineRule="auto"/>
            </w:pPr>
            <w:r>
              <w:rPr>
                <w:sz w:val="18"/>
              </w:rPr>
              <w:t>Java Backend、ScoringOrchestrator、BandCalculator</w:t>
            </w:r>
          </w:p>
        </w:tc>
      </w:tr>
    </w:tbl>
    <w:p w14:paraId="20EFABB2">
      <w:pPr>
        <w:spacing w:after="0"/>
      </w:pPr>
    </w:p>
    <w:p w14:paraId="05BC42BF">
      <w:pPr>
        <w:pStyle w:val="3"/>
      </w:pPr>
      <w:r>
        <w:t>3. 组件分层与依赖方向</w:t>
      </w:r>
    </w:p>
    <w:p w14:paraId="26FF0211">
      <w:pPr>
        <w:spacing w:after="60"/>
        <w:jc w:val="center"/>
      </w:pPr>
      <w:r>
        <w:drawing>
          <wp:inline distT="0" distB="0" distL="114300" distR="114300">
            <wp:extent cx="7909560" cy="4631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46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1439">
      <w:pPr>
        <w:spacing w:after="160"/>
        <w:jc w:val="center"/>
      </w:pPr>
      <w:r>
        <w:rPr>
          <w:i/>
          <w:color w:val="6B7280"/>
          <w:sz w:val="18"/>
        </w:rPr>
        <w:t>图 3  组件分层与依赖方向</w:t>
      </w:r>
    </w:p>
    <w:p w14:paraId="2B1CFCCE">
      <w:pPr>
        <w:spacing w:after="80" w:line="276" w:lineRule="auto"/>
      </w:pPr>
      <w:r>
        <w:t>依赖约束：上层可以调用下层接口，但下层领域规则不反向依赖页面或具体 Provider。这样可以替换模型供应商、存储实现和客户端，而不改考试规则。</w:t>
      </w:r>
    </w:p>
    <w:p w14:paraId="61E71C81">
      <w:r>
        <w:br w:type="page"/>
      </w:r>
    </w:p>
    <w:p w14:paraId="3038F542">
      <w:pPr>
        <w:pStyle w:val="3"/>
      </w:pPr>
      <w:r>
        <w:t>4. 雅思模拟考试启动调用流程</w:t>
      </w:r>
    </w:p>
    <w:p w14:paraId="113924B1">
      <w:pPr>
        <w:spacing w:after="60"/>
        <w:jc w:val="center"/>
      </w:pPr>
      <w:bookmarkStart w:id="0" w:name="_GoBack"/>
      <w:r>
        <w:drawing>
          <wp:inline distT="0" distB="0" distL="114300" distR="114300">
            <wp:extent cx="9281160" cy="389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3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49D621">
      <w:pPr>
        <w:spacing w:after="160"/>
        <w:jc w:val="center"/>
      </w:pPr>
      <w:r>
        <w:rPr>
          <w:i/>
          <w:color w:val="6B7280"/>
          <w:sz w:val="18"/>
        </w:rPr>
        <w:t>图 4  从用户点击开始到返回建连信息的调用顺序</w:t>
      </w:r>
    </w:p>
    <w:p w14:paraId="7687B5D2">
      <w:pPr>
        <w:pStyle w:val="14"/>
        <w:spacing w:after="40"/>
      </w:pPr>
      <w:r>
        <w:t>Controller 接收 IeltsStartCommand，其中包含模式、专项 Part、计时配置和 Offer SDP。</w:t>
      </w:r>
    </w:p>
    <w:p w14:paraId="63EBA02C">
      <w:pPr>
        <w:pStyle w:val="14"/>
        <w:spacing w:after="40"/>
      </w:pPr>
      <w:r>
        <w:t>SessionService 复用鉴权、画像、额度、状态存储和 SDP 交换等公共启动流程。</w:t>
      </w:r>
    </w:p>
    <w:p w14:paraId="2ADBEDF8">
      <w:pPr>
        <w:pStyle w:val="14"/>
        <w:spacing w:after="40"/>
      </w:pPr>
      <w:r>
        <w:t>IeltsMockSessionService 加载题库，生成并冻结 PaperSnapshot。</w:t>
      </w:r>
    </w:p>
    <w:p w14:paraId="11C63413">
      <w:pPr>
        <w:pStyle w:val="14"/>
        <w:spacing w:after="40"/>
      </w:pPr>
      <w:r>
        <w:t>系统同时创建 localSessionId（实时会话）和 attemptId（整场考试记录）。</w:t>
      </w:r>
    </w:p>
    <w:p w14:paraId="5D2CB70F">
      <w:pPr>
        <w:pStyle w:val="14"/>
        <w:spacing w:after="40"/>
      </w:pPr>
      <w:r>
        <w:t>考官 Prompt 绑定本场冻结题目和“不得自行跳题”的规则。</w:t>
      </w:r>
    </w:p>
    <w:p w14:paraId="21C878E7">
      <w:pPr>
        <w:pStyle w:val="14"/>
        <w:spacing w:after="40"/>
      </w:pPr>
      <w:r>
        <w:t>返回 answerSdp、attemptId、scoring WebSocket 地址、PaperSnapshot 和初始状态。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16819C76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6C6E13B3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5B120FC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输出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532D9782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失败处理</w:t>
            </w:r>
          </w:p>
        </w:tc>
      </w:tr>
      <w:tr w14:paraId="7A9D23D7">
        <w:trPr>
          <w:jc w:val="center"/>
        </w:trPr>
        <w:tc>
          <w:tcPr>
            <w:tcW w:w="5046" w:type="dxa"/>
            <w:vAlign w:val="center"/>
          </w:tcPr>
          <w:p w14:paraId="08A1D382">
            <w:pPr>
              <w:spacing w:after="0" w:line="240" w:lineRule="auto"/>
            </w:pPr>
            <w:r>
              <w:rPr>
                <w:sz w:val="18"/>
              </w:rPr>
              <w:t>mode、selectedPart、timingProfile、Offer SDP、用户偏好</w:t>
            </w:r>
          </w:p>
        </w:tc>
        <w:tc>
          <w:tcPr>
            <w:tcW w:w="5046" w:type="dxa"/>
            <w:vAlign w:val="center"/>
          </w:tcPr>
          <w:p w14:paraId="2871E23A">
            <w:pPr>
              <w:spacing w:after="0" w:line="240" w:lineRule="auto"/>
            </w:pPr>
            <w:r>
              <w:rPr>
                <w:sz w:val="18"/>
              </w:rPr>
              <w:t>localSessionId、attemptId、Answer SDP、scoringWsUrl、PaperSnapshot</w:t>
            </w:r>
          </w:p>
        </w:tc>
        <w:tc>
          <w:tcPr>
            <w:tcW w:w="5046" w:type="dxa"/>
            <w:vAlign w:val="center"/>
          </w:tcPr>
          <w:p w14:paraId="119C5F00">
            <w:pPr>
              <w:spacing w:after="0" w:line="240" w:lineRule="auto"/>
            </w:pPr>
            <w:r>
              <w:rPr>
                <w:sz w:val="18"/>
              </w:rPr>
              <w:t>释放预占额度、标记 Session 失败、Attempt 技术中断</w:t>
            </w:r>
          </w:p>
        </w:tc>
      </w:tr>
    </w:tbl>
    <w:p w14:paraId="10D36CF4">
      <w:pPr>
        <w:spacing w:after="0"/>
      </w:pPr>
    </w:p>
    <w:p w14:paraId="676A6609">
      <w:r>
        <w:br w:type="page"/>
      </w:r>
    </w:p>
    <w:p w14:paraId="606E8B22">
      <w:pPr>
        <w:pStyle w:val="3"/>
      </w:pPr>
      <w:r>
        <w:t>5. 考试状态机与 Part 推进关系</w:t>
      </w:r>
    </w:p>
    <w:p w14:paraId="5625D95C">
      <w:pPr>
        <w:spacing w:after="60"/>
        <w:jc w:val="center"/>
      </w:pPr>
      <w:r>
        <w:drawing>
          <wp:inline distT="0" distB="0" distL="114300" distR="114300">
            <wp:extent cx="8412480" cy="1832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8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DAC8">
      <w:pPr>
        <w:spacing w:after="160"/>
        <w:jc w:val="center"/>
      </w:pPr>
      <w:r>
        <w:rPr>
          <w:i/>
          <w:color w:val="6B7280"/>
          <w:sz w:val="18"/>
        </w:rPr>
        <w:t>图 5  完整模考状态机</w:t>
      </w:r>
    </w:p>
    <w:p w14:paraId="2E833CED">
      <w:pPr>
        <w:spacing w:after="80" w:line="276" w:lineRule="auto"/>
      </w:pPr>
      <w:r>
        <w:t>状态机是考试流程的唯一权威。Qwen Realtime 的 VAD、ASR 或 response.done 只能提供事件，不能直接决定下一题。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16F511D5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4683B228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6461B5E9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页面行为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4B617011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允许的关键事件</w:t>
            </w:r>
          </w:p>
        </w:tc>
      </w:tr>
      <w:tr w14:paraId="03289356">
        <w:trPr>
          <w:jc w:val="center"/>
        </w:trPr>
        <w:tc>
          <w:tcPr>
            <w:tcW w:w="5046" w:type="dxa"/>
            <w:vAlign w:val="center"/>
          </w:tcPr>
          <w:p w14:paraId="5898607E">
            <w:pPr>
              <w:spacing w:after="0" w:line="240" w:lineRule="auto"/>
            </w:pPr>
            <w:r>
              <w:rPr>
                <w:sz w:val="18"/>
              </w:rPr>
              <w:t>OPENING</w:t>
            </w:r>
          </w:p>
        </w:tc>
        <w:tc>
          <w:tcPr>
            <w:tcW w:w="5046" w:type="dxa"/>
            <w:vAlign w:val="center"/>
          </w:tcPr>
          <w:p w14:paraId="151CD169">
            <w:pPr>
              <w:spacing w:after="0" w:line="240" w:lineRule="auto"/>
            </w:pPr>
            <w:r>
              <w:rPr>
                <w:sz w:val="18"/>
              </w:rPr>
              <w:t>播放固定开场</w:t>
            </w:r>
          </w:p>
        </w:tc>
        <w:tc>
          <w:tcPr>
            <w:tcW w:w="5046" w:type="dxa"/>
            <w:vAlign w:val="center"/>
          </w:tcPr>
          <w:p w14:paraId="0B43DFA5">
            <w:pPr>
              <w:spacing w:after="0" w:line="240" w:lineRule="auto"/>
            </w:pPr>
            <w:r>
              <w:rPr>
                <w:sz w:val="18"/>
              </w:rPr>
              <w:t>EXAMINER_DONE</w:t>
            </w:r>
          </w:p>
        </w:tc>
      </w:tr>
      <w:tr w14:paraId="2869E91F">
        <w:trPr>
          <w:jc w:val="center"/>
        </w:trPr>
        <w:tc>
          <w:tcPr>
            <w:tcW w:w="5046" w:type="dxa"/>
            <w:vAlign w:val="center"/>
          </w:tcPr>
          <w:p w14:paraId="31B04719">
            <w:pPr>
              <w:spacing w:after="0" w:line="240" w:lineRule="auto"/>
            </w:pPr>
            <w:r>
              <w:rPr>
                <w:sz w:val="18"/>
              </w:rPr>
              <w:t>INTRODUCTION</w:t>
            </w:r>
          </w:p>
        </w:tc>
        <w:tc>
          <w:tcPr>
            <w:tcW w:w="5046" w:type="dxa"/>
            <w:vAlign w:val="center"/>
          </w:tcPr>
          <w:p w14:paraId="23970DAB">
            <w:pPr>
              <w:spacing w:after="0" w:line="240" w:lineRule="auto"/>
            </w:pPr>
            <w:r>
              <w:rPr>
                <w:sz w:val="18"/>
              </w:rPr>
              <w:t>自我介绍，保存但不参与 Band</w:t>
            </w:r>
          </w:p>
        </w:tc>
        <w:tc>
          <w:tcPr>
            <w:tcW w:w="5046" w:type="dxa"/>
            <w:vAlign w:val="center"/>
          </w:tcPr>
          <w:p w14:paraId="7F2960D1">
            <w:pPr>
              <w:spacing w:after="0" w:line="240" w:lineRule="auto"/>
            </w:pPr>
            <w:r>
              <w:rPr>
                <w:sz w:val="18"/>
              </w:rPr>
              <w:t>SUBMIT_ANSWER / TIME_LIMIT</w:t>
            </w:r>
          </w:p>
        </w:tc>
      </w:tr>
      <w:tr w14:paraId="4E3460C4">
        <w:trPr>
          <w:jc w:val="center"/>
        </w:trPr>
        <w:tc>
          <w:tcPr>
            <w:tcW w:w="5046" w:type="dxa"/>
            <w:vAlign w:val="center"/>
          </w:tcPr>
          <w:p w14:paraId="4274B99E">
            <w:pPr>
              <w:spacing w:after="0" w:line="240" w:lineRule="auto"/>
            </w:pPr>
            <w:r>
              <w:rPr>
                <w:sz w:val="18"/>
              </w:rPr>
              <w:t>PART1_ANSWERING</w:t>
            </w:r>
          </w:p>
        </w:tc>
        <w:tc>
          <w:tcPr>
            <w:tcW w:w="5046" w:type="dxa"/>
            <w:vAlign w:val="center"/>
          </w:tcPr>
          <w:p w14:paraId="4F3F89B7">
            <w:pPr>
              <w:spacing w:after="0" w:line="240" w:lineRule="auto"/>
            </w:pPr>
            <w:r>
              <w:rPr>
                <w:sz w:val="18"/>
              </w:rPr>
              <w:t>单 Topic 4～5 题</w:t>
            </w:r>
          </w:p>
        </w:tc>
        <w:tc>
          <w:tcPr>
            <w:tcW w:w="5046" w:type="dxa"/>
            <w:vAlign w:val="center"/>
          </w:tcPr>
          <w:p w14:paraId="2EF6DAED">
            <w:pPr>
              <w:spacing w:after="0" w:line="240" w:lineRule="auto"/>
            </w:pPr>
            <w:r>
              <w:rPr>
                <w:sz w:val="18"/>
              </w:rPr>
              <w:t>SUBMIT_ANSWER</w:t>
            </w:r>
          </w:p>
        </w:tc>
      </w:tr>
      <w:tr w14:paraId="5311B021">
        <w:trPr>
          <w:jc w:val="center"/>
        </w:trPr>
        <w:tc>
          <w:tcPr>
            <w:tcW w:w="5046" w:type="dxa"/>
            <w:vAlign w:val="center"/>
          </w:tcPr>
          <w:p w14:paraId="0F1E23C0">
            <w:pPr>
              <w:spacing w:after="0" w:line="240" w:lineRule="auto"/>
            </w:pPr>
            <w:r>
              <w:rPr>
                <w:sz w:val="18"/>
              </w:rPr>
              <w:t>PART2_PREPARING</w:t>
            </w:r>
          </w:p>
        </w:tc>
        <w:tc>
          <w:tcPr>
            <w:tcW w:w="5046" w:type="dxa"/>
            <w:vAlign w:val="center"/>
          </w:tcPr>
          <w:p w14:paraId="7649EBCB">
            <w:pPr>
              <w:spacing w:after="0" w:line="240" w:lineRule="auto"/>
            </w:pPr>
            <w:r>
              <w:rPr>
                <w:sz w:val="18"/>
              </w:rPr>
              <w:t>显示题卡、笔记可编辑、倒计时</w:t>
            </w:r>
          </w:p>
        </w:tc>
        <w:tc>
          <w:tcPr>
            <w:tcW w:w="5046" w:type="dxa"/>
            <w:vAlign w:val="center"/>
          </w:tcPr>
          <w:p w14:paraId="77ABF1FF">
            <w:pPr>
              <w:spacing w:after="0" w:line="240" w:lineRule="auto"/>
            </w:pPr>
            <w:r>
              <w:rPr>
                <w:sz w:val="18"/>
              </w:rPr>
              <w:t>PREP_EXPIRED</w:t>
            </w:r>
          </w:p>
        </w:tc>
      </w:tr>
      <w:tr w14:paraId="06370C24">
        <w:trPr>
          <w:jc w:val="center"/>
        </w:trPr>
        <w:tc>
          <w:tcPr>
            <w:tcW w:w="5046" w:type="dxa"/>
            <w:vAlign w:val="center"/>
          </w:tcPr>
          <w:p w14:paraId="676D11D6">
            <w:pPr>
              <w:spacing w:after="0" w:line="240" w:lineRule="auto"/>
            </w:pPr>
            <w:r>
              <w:rPr>
                <w:sz w:val="18"/>
              </w:rPr>
              <w:t>PART2_ANSWERING</w:t>
            </w:r>
          </w:p>
        </w:tc>
        <w:tc>
          <w:tcPr>
            <w:tcW w:w="5046" w:type="dxa"/>
            <w:vAlign w:val="center"/>
          </w:tcPr>
          <w:p w14:paraId="45C46ECD">
            <w:pPr>
              <w:spacing w:after="0" w:line="240" w:lineRule="auto"/>
            </w:pPr>
            <w:r>
              <w:rPr>
                <w:sz w:val="18"/>
              </w:rPr>
              <w:t>一个完整 Long Turn</w:t>
            </w:r>
          </w:p>
        </w:tc>
        <w:tc>
          <w:tcPr>
            <w:tcW w:w="5046" w:type="dxa"/>
            <w:vAlign w:val="center"/>
          </w:tcPr>
          <w:p w14:paraId="5EA50FAD">
            <w:pPr>
              <w:spacing w:after="0" w:line="240" w:lineRule="auto"/>
            </w:pPr>
            <w:r>
              <w:rPr>
                <w:sz w:val="18"/>
              </w:rPr>
              <w:t>显式完成 / 时间到</w:t>
            </w:r>
          </w:p>
        </w:tc>
      </w:tr>
      <w:tr w14:paraId="012AB1AF">
        <w:trPr>
          <w:jc w:val="center"/>
        </w:trPr>
        <w:tc>
          <w:tcPr>
            <w:tcW w:w="5046" w:type="dxa"/>
            <w:vAlign w:val="center"/>
          </w:tcPr>
          <w:p w14:paraId="3AC67DDC">
            <w:pPr>
              <w:spacing w:after="0" w:line="240" w:lineRule="auto"/>
            </w:pPr>
            <w:r>
              <w:rPr>
                <w:sz w:val="18"/>
              </w:rPr>
              <w:t>PART3_ANSWERING</w:t>
            </w:r>
          </w:p>
        </w:tc>
        <w:tc>
          <w:tcPr>
            <w:tcW w:w="5046" w:type="dxa"/>
            <w:vAlign w:val="center"/>
          </w:tcPr>
          <w:p w14:paraId="512B5D00">
            <w:pPr>
              <w:spacing w:after="0" w:line="240" w:lineRule="auto"/>
            </w:pPr>
            <w:r>
              <w:rPr>
                <w:sz w:val="18"/>
              </w:rPr>
              <w:t>同 Topic 依次提问，受软/硬总时限控制</w:t>
            </w:r>
          </w:p>
        </w:tc>
        <w:tc>
          <w:tcPr>
            <w:tcW w:w="5046" w:type="dxa"/>
            <w:vAlign w:val="center"/>
          </w:tcPr>
          <w:p w14:paraId="0F430E14">
            <w:pPr>
              <w:spacing w:after="0" w:line="240" w:lineRule="auto"/>
            </w:pPr>
            <w:r>
              <w:rPr>
                <w:sz w:val="18"/>
              </w:rPr>
              <w:t>SUBMIT_ANSWER / HARD_LIMIT</w:t>
            </w:r>
          </w:p>
        </w:tc>
      </w:tr>
    </w:tbl>
    <w:p w14:paraId="7CD1F153">
      <w:pPr>
        <w:spacing w:after="0"/>
      </w:pPr>
    </w:p>
    <w:p w14:paraId="730782B3">
      <w:r>
        <w:br w:type="page"/>
      </w:r>
    </w:p>
    <w:p w14:paraId="27BC0609">
      <w:pPr>
        <w:pStyle w:val="3"/>
      </w:pPr>
      <w:r>
        <w:t>6. Realtime 与 PCM 双路音频调用流程</w:t>
      </w:r>
    </w:p>
    <w:p w14:paraId="516150A8">
      <w:pPr>
        <w:spacing w:after="60"/>
        <w:jc w:val="center"/>
      </w:pPr>
      <w:r>
        <w:drawing>
          <wp:inline distT="0" distB="0" distL="114300" distR="114300">
            <wp:extent cx="8869680" cy="879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8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08B6">
      <w:pPr>
        <w:spacing w:after="160"/>
        <w:jc w:val="center"/>
      </w:pPr>
      <w:r>
        <w:rPr>
          <w:i/>
          <w:color w:val="6B7280"/>
          <w:sz w:val="18"/>
        </w:rPr>
        <w:t>图 6  一次麦克风授权，同时服务实时交互和评分采集</w:t>
      </w:r>
    </w:p>
    <w:p w14:paraId="5C259CC7">
      <w:pPr>
        <w:spacing w:after="80" w:line="276" w:lineRule="auto"/>
      </w:pPr>
      <w:r>
        <w:t>客户端只调用一次 getUserMedia。同一个 MediaStream 一路作为 WebRTC Track 发送给 Qwen Realtime，另一路通过 AudioContext 转成 16 kHz、16-bit、mono PCM，经评分 WebSocket 发送给 Java 后端。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422DD7A2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1FB24899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链路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4B048A0B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数据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23CE41C7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14:paraId="49CC6B6C">
        <w:trPr>
          <w:jc w:val="center"/>
        </w:trPr>
        <w:tc>
          <w:tcPr>
            <w:tcW w:w="5046" w:type="dxa"/>
            <w:vAlign w:val="center"/>
          </w:tcPr>
          <w:p w14:paraId="33CFCF77">
            <w:pPr>
              <w:spacing w:after="0" w:line="240" w:lineRule="auto"/>
            </w:pPr>
            <w:r>
              <w:rPr>
                <w:sz w:val="18"/>
              </w:rPr>
              <w:t>WebRTC</w:t>
            </w:r>
          </w:p>
        </w:tc>
        <w:tc>
          <w:tcPr>
            <w:tcW w:w="5046" w:type="dxa"/>
            <w:vAlign w:val="center"/>
          </w:tcPr>
          <w:p w14:paraId="7357DAFC">
            <w:pPr>
              <w:spacing w:after="0" w:line="240" w:lineRule="auto"/>
            </w:pPr>
            <w:r>
              <w:rPr>
                <w:sz w:val="18"/>
              </w:rPr>
              <w:t>原始麦克风 Track、SDP、DataChannel 事件</w:t>
            </w:r>
          </w:p>
        </w:tc>
        <w:tc>
          <w:tcPr>
            <w:tcW w:w="5046" w:type="dxa"/>
            <w:vAlign w:val="center"/>
          </w:tcPr>
          <w:p w14:paraId="69E26E97">
            <w:pPr>
              <w:spacing w:after="0" w:line="240" w:lineRule="auto"/>
            </w:pPr>
            <w:r>
              <w:rPr>
                <w:sz w:val="18"/>
              </w:rPr>
              <w:t>考官语音、实时转写、VAD</w:t>
            </w:r>
          </w:p>
        </w:tc>
      </w:tr>
      <w:tr w14:paraId="116BB058">
        <w:trPr>
          <w:jc w:val="center"/>
        </w:trPr>
        <w:tc>
          <w:tcPr>
            <w:tcW w:w="5046" w:type="dxa"/>
            <w:vAlign w:val="center"/>
          </w:tcPr>
          <w:p w14:paraId="179972B7">
            <w:pPr>
              <w:spacing w:after="0" w:line="240" w:lineRule="auto"/>
            </w:pPr>
            <w:r>
              <w:rPr>
                <w:sz w:val="18"/>
              </w:rPr>
              <w:t>评分 WebSocket</w:t>
            </w:r>
          </w:p>
        </w:tc>
        <w:tc>
          <w:tcPr>
            <w:tcW w:w="5046" w:type="dxa"/>
            <w:vAlign w:val="center"/>
          </w:tcPr>
          <w:p w14:paraId="565E2EDB">
            <w:pPr>
              <w:spacing w:after="0" w:line="240" w:lineRule="auto"/>
            </w:pPr>
            <w:r>
              <w:rPr>
                <w:sz w:val="18"/>
              </w:rPr>
              <w:t>Binary PCM + JSON 控制事件</w:t>
            </w:r>
          </w:p>
        </w:tc>
        <w:tc>
          <w:tcPr>
            <w:tcW w:w="5046" w:type="dxa"/>
            <w:vAlign w:val="center"/>
          </w:tcPr>
          <w:p w14:paraId="31D1CF9E">
            <w:pPr>
              <w:spacing w:after="0" w:line="240" w:lineRule="auto"/>
            </w:pPr>
            <w:r>
              <w:rPr>
                <w:sz w:val="18"/>
              </w:rPr>
              <w:t>按 Turn 截取音频、保存证据</w:t>
            </w:r>
          </w:p>
        </w:tc>
      </w:tr>
      <w:tr w14:paraId="2EAE4C8D">
        <w:trPr>
          <w:jc w:val="center"/>
        </w:trPr>
        <w:tc>
          <w:tcPr>
            <w:tcW w:w="5046" w:type="dxa"/>
            <w:vAlign w:val="center"/>
          </w:tcPr>
          <w:p w14:paraId="79D42858">
            <w:pPr>
              <w:spacing w:after="0" w:line="240" w:lineRule="auto"/>
            </w:pPr>
            <w:r>
              <w:rPr>
                <w:sz w:val="18"/>
              </w:rPr>
              <w:t>REST</w:t>
            </w:r>
          </w:p>
        </w:tc>
        <w:tc>
          <w:tcPr>
            <w:tcW w:w="5046" w:type="dxa"/>
            <w:vAlign w:val="center"/>
          </w:tcPr>
          <w:p w14:paraId="053B8608">
            <w:pPr>
              <w:spacing w:after="0" w:line="240" w:lineRule="auto"/>
            </w:pPr>
            <w:r>
              <w:rPr>
                <w:sz w:val="18"/>
              </w:rPr>
              <w:t>Attempt、Finalize、Status、Report</w:t>
            </w:r>
          </w:p>
        </w:tc>
        <w:tc>
          <w:tcPr>
            <w:tcW w:w="5046" w:type="dxa"/>
            <w:vAlign w:val="center"/>
          </w:tcPr>
          <w:p w14:paraId="48E4471F">
            <w:pPr>
              <w:spacing w:after="0" w:line="240" w:lineRule="auto"/>
            </w:pPr>
            <w:r>
              <w:rPr>
                <w:sz w:val="18"/>
              </w:rPr>
              <w:t>考试生命周期和报告查询</w:t>
            </w:r>
          </w:p>
        </w:tc>
      </w:tr>
    </w:tbl>
    <w:p w14:paraId="4EC3A22F">
      <w:pPr>
        <w:spacing w:after="0"/>
      </w:pPr>
    </w:p>
    <w:p w14:paraId="4A76FF3A">
      <w:pPr>
        <w:spacing w:after="80" w:line="276" w:lineRule="auto"/>
      </w:pPr>
      <w:r>
        <w:t>关键边界：页面上的“是否长期保存录音”和评分所需的临时 PCM 采集是两件事。当前评分 PCM 保存在 Java 进程内；长期录音存储仍属于正式产品规划。</w:t>
      </w:r>
    </w:p>
    <w:p w14:paraId="68A189B4">
      <w:r>
        <w:br w:type="page"/>
      </w:r>
    </w:p>
    <w:p w14:paraId="4FE006DE">
      <w:pPr>
        <w:pStyle w:val="3"/>
      </w:pPr>
      <w:r>
        <w:t>7. 单道题 Turn 的完整生命周期</w:t>
      </w:r>
    </w:p>
    <w:p w14:paraId="361E9FAF">
      <w:pPr>
        <w:spacing w:after="60"/>
        <w:jc w:val="center"/>
      </w:pPr>
      <w:r>
        <w:drawing>
          <wp:inline distT="0" distB="0" distL="114300" distR="114300">
            <wp:extent cx="9144000" cy="67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24AE">
      <w:pPr>
        <w:spacing w:after="160"/>
        <w:jc w:val="center"/>
      </w:pPr>
      <w:r>
        <w:rPr>
          <w:i/>
          <w:color w:val="6B7280"/>
          <w:sz w:val="18"/>
        </w:rPr>
        <w:t>图 7  从题目提出到音频片段可评分的 Turn 生命周期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6A59037D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0ED44E6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1C89EF02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写入的数据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5CD6796C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负责组件</w:t>
            </w:r>
          </w:p>
        </w:tc>
      </w:tr>
      <w:tr w14:paraId="78160341">
        <w:trPr>
          <w:jc w:val="center"/>
        </w:trPr>
        <w:tc>
          <w:tcPr>
            <w:tcW w:w="5046" w:type="dxa"/>
            <w:vAlign w:val="center"/>
          </w:tcPr>
          <w:p w14:paraId="3DC7D01A">
            <w:pPr>
              <w:spacing w:after="0" w:line="240" w:lineRule="auto"/>
            </w:pPr>
            <w:r>
              <w:rPr>
                <w:sz w:val="18"/>
              </w:rPr>
              <w:t>QUESTION_ASKED</w:t>
            </w:r>
          </w:p>
        </w:tc>
        <w:tc>
          <w:tcPr>
            <w:tcW w:w="5046" w:type="dxa"/>
            <w:vAlign w:val="center"/>
          </w:tcPr>
          <w:p w14:paraId="4D4203C9">
            <w:pPr>
              <w:spacing w:after="0" w:line="240" w:lineRule="auto"/>
            </w:pPr>
            <w:r>
              <w:rPr>
                <w:sz w:val="18"/>
              </w:rPr>
              <w:t>questionId、questionTextSnapshot、Part</w:t>
            </w:r>
          </w:p>
        </w:tc>
        <w:tc>
          <w:tcPr>
            <w:tcW w:w="5046" w:type="dxa"/>
            <w:vAlign w:val="center"/>
          </w:tcPr>
          <w:p w14:paraId="50EDF4E9">
            <w:pPr>
              <w:spacing w:after="0" w:line="240" w:lineRule="auto"/>
            </w:pPr>
            <w:r>
              <w:rPr>
                <w:sz w:val="18"/>
              </w:rPr>
              <w:t>IeltsMockSessionService</w:t>
            </w:r>
          </w:p>
        </w:tc>
      </w:tr>
      <w:tr w14:paraId="26D9FF34">
        <w:trPr>
          <w:jc w:val="center"/>
        </w:trPr>
        <w:tc>
          <w:tcPr>
            <w:tcW w:w="5046" w:type="dxa"/>
            <w:vAlign w:val="center"/>
          </w:tcPr>
          <w:p w14:paraId="5DCBDA41">
            <w:pPr>
              <w:spacing w:after="0" w:line="240" w:lineRule="auto"/>
            </w:pPr>
            <w:r>
              <w:rPr>
                <w:sz w:val="18"/>
              </w:rPr>
              <w:t>TURN_OPENED</w:t>
            </w:r>
          </w:p>
        </w:tc>
        <w:tc>
          <w:tcPr>
            <w:tcW w:w="5046" w:type="dxa"/>
            <w:vAlign w:val="center"/>
          </w:tcPr>
          <w:p w14:paraId="192CC6AF">
            <w:pPr>
              <w:spacing w:after="0" w:line="240" w:lineRule="auto"/>
            </w:pPr>
            <w:r>
              <w:rPr>
                <w:sz w:val="18"/>
              </w:rPr>
              <w:t>turnId、turnType、scoringEligible、openedAt</w:t>
            </w:r>
          </w:p>
        </w:tc>
        <w:tc>
          <w:tcPr>
            <w:tcW w:w="5046" w:type="dxa"/>
            <w:vAlign w:val="center"/>
          </w:tcPr>
          <w:p w14:paraId="319FA921">
            <w:pPr>
              <w:spacing w:after="0" w:line="240" w:lineRule="auto"/>
            </w:pPr>
            <w:r>
              <w:rPr>
                <w:sz w:val="18"/>
              </w:rPr>
              <w:t>IeltsTurnService / TurnAssembler</w:t>
            </w:r>
          </w:p>
        </w:tc>
      </w:tr>
      <w:tr w14:paraId="7040398C">
        <w:trPr>
          <w:jc w:val="center"/>
        </w:trPr>
        <w:tc>
          <w:tcPr>
            <w:tcW w:w="5046" w:type="dxa"/>
            <w:vAlign w:val="center"/>
          </w:tcPr>
          <w:p w14:paraId="4DCF7F60">
            <w:pPr>
              <w:spacing w:after="0" w:line="240" w:lineRule="auto"/>
            </w:pPr>
            <w:r>
              <w:rPr>
                <w:sz w:val="18"/>
              </w:rPr>
              <w:t>Speech Chunks</w:t>
            </w:r>
          </w:p>
        </w:tc>
        <w:tc>
          <w:tcPr>
            <w:tcW w:w="5046" w:type="dxa"/>
            <w:vAlign w:val="center"/>
          </w:tcPr>
          <w:p w14:paraId="57620D3A">
            <w:pPr>
              <w:spacing w:after="0" w:line="240" w:lineRule="auto"/>
            </w:pPr>
            <w:r>
              <w:rPr>
                <w:sz w:val="18"/>
              </w:rPr>
              <w:t>speechStarted / speechStopped 时间戳</w:t>
            </w:r>
          </w:p>
        </w:tc>
        <w:tc>
          <w:tcPr>
            <w:tcW w:w="5046" w:type="dxa"/>
            <w:vAlign w:val="center"/>
          </w:tcPr>
          <w:p w14:paraId="302D024D">
            <w:pPr>
              <w:spacing w:after="0" w:line="240" w:lineRule="auto"/>
            </w:pPr>
            <w:r>
              <w:rPr>
                <w:sz w:val="18"/>
              </w:rPr>
              <w:t>Qwen VAD → WebSocket Handler</w:t>
            </w:r>
          </w:p>
        </w:tc>
      </w:tr>
      <w:tr w14:paraId="28814275">
        <w:trPr>
          <w:jc w:val="center"/>
        </w:trPr>
        <w:tc>
          <w:tcPr>
            <w:tcW w:w="5046" w:type="dxa"/>
            <w:vAlign w:val="center"/>
          </w:tcPr>
          <w:p w14:paraId="405939D5">
            <w:pPr>
              <w:spacing w:after="0" w:line="240" w:lineRule="auto"/>
            </w:pPr>
            <w:r>
              <w:rPr>
                <w:sz w:val="18"/>
              </w:rPr>
              <w:t>Transcript</w:t>
            </w:r>
          </w:p>
        </w:tc>
        <w:tc>
          <w:tcPr>
            <w:tcW w:w="5046" w:type="dxa"/>
            <w:vAlign w:val="center"/>
          </w:tcPr>
          <w:p w14:paraId="4A1F2A68">
            <w:pPr>
              <w:spacing w:after="0" w:line="240" w:lineRule="auto"/>
            </w:pPr>
            <w:r>
              <w:rPr>
                <w:sz w:val="18"/>
              </w:rPr>
              <w:t>rawTranscript，仅保存原始转写</w:t>
            </w:r>
          </w:p>
        </w:tc>
        <w:tc>
          <w:tcPr>
            <w:tcW w:w="5046" w:type="dxa"/>
            <w:vAlign w:val="center"/>
          </w:tcPr>
          <w:p w14:paraId="62F790DA">
            <w:pPr>
              <w:spacing w:after="0" w:line="240" w:lineRule="auto"/>
            </w:pPr>
            <w:r>
              <w:rPr>
                <w:sz w:val="18"/>
              </w:rPr>
              <w:t>Qwen ASR → IeltsTurnService</w:t>
            </w:r>
          </w:p>
        </w:tc>
      </w:tr>
      <w:tr w14:paraId="19EB7E0A">
        <w:trPr>
          <w:jc w:val="center"/>
        </w:trPr>
        <w:tc>
          <w:tcPr>
            <w:tcW w:w="5046" w:type="dxa"/>
            <w:vAlign w:val="center"/>
          </w:tcPr>
          <w:p w14:paraId="67DE6BE6">
            <w:pPr>
              <w:spacing w:after="0" w:line="240" w:lineRule="auto"/>
            </w:pPr>
            <w:r>
              <w:rPr>
                <w:sz w:val="18"/>
              </w:rPr>
              <w:t>TURN_COMPLETED</w:t>
            </w:r>
          </w:p>
        </w:tc>
        <w:tc>
          <w:tcPr>
            <w:tcW w:w="5046" w:type="dxa"/>
            <w:vAlign w:val="center"/>
          </w:tcPr>
          <w:p w14:paraId="6FF5043F">
            <w:pPr>
              <w:spacing w:after="0" w:line="240" w:lineRule="auto"/>
            </w:pPr>
            <w:r>
              <w:rPr>
                <w:sz w:val="18"/>
              </w:rPr>
              <w:t>completedAt、completionReason</w:t>
            </w:r>
          </w:p>
        </w:tc>
        <w:tc>
          <w:tcPr>
            <w:tcW w:w="5046" w:type="dxa"/>
            <w:vAlign w:val="center"/>
          </w:tcPr>
          <w:p w14:paraId="0D6D735B">
            <w:pPr>
              <w:spacing w:after="0" w:line="240" w:lineRule="auto"/>
            </w:pPr>
            <w:r>
              <w:rPr>
                <w:sz w:val="18"/>
              </w:rPr>
              <w:t>Exam Controller / State Machine</w:t>
            </w:r>
          </w:p>
        </w:tc>
      </w:tr>
      <w:tr w14:paraId="319D5866">
        <w:trPr>
          <w:jc w:val="center"/>
        </w:trPr>
        <w:tc>
          <w:tcPr>
            <w:tcW w:w="5046" w:type="dxa"/>
            <w:vAlign w:val="center"/>
          </w:tcPr>
          <w:p w14:paraId="42CB236E">
            <w:pPr>
              <w:spacing w:after="0" w:line="240" w:lineRule="auto"/>
            </w:pPr>
            <w:r>
              <w:rPr>
                <w:sz w:val="18"/>
              </w:rPr>
              <w:t>audioReady</w:t>
            </w:r>
          </w:p>
        </w:tc>
        <w:tc>
          <w:tcPr>
            <w:tcW w:w="5046" w:type="dxa"/>
            <w:vAlign w:val="center"/>
          </w:tcPr>
          <w:p w14:paraId="601C98AE">
            <w:pPr>
              <w:spacing w:after="0" w:line="240" w:lineRule="auto"/>
            </w:pPr>
            <w:r>
              <w:rPr>
                <w:sz w:val="18"/>
              </w:rPr>
              <w:t>带 pre-roll/post-roll 的 PCM 片段</w:t>
            </w:r>
          </w:p>
        </w:tc>
        <w:tc>
          <w:tcPr>
            <w:tcW w:w="5046" w:type="dxa"/>
            <w:vAlign w:val="center"/>
          </w:tcPr>
          <w:p w14:paraId="788955E6">
            <w:pPr>
              <w:spacing w:after="0" w:line="240" w:lineRule="auto"/>
            </w:pPr>
            <w:r>
              <w:rPr>
                <w:sz w:val="18"/>
              </w:rPr>
              <w:t>PcmAudioCaptureService</w:t>
            </w:r>
          </w:p>
        </w:tc>
      </w:tr>
    </w:tbl>
    <w:p w14:paraId="57D12A46">
      <w:pPr>
        <w:spacing w:after="0"/>
      </w:pPr>
    </w:p>
    <w:p w14:paraId="262AC12C">
      <w:pPr>
        <w:spacing w:after="80" w:line="276" w:lineRule="auto"/>
      </w:pPr>
      <w:r>
        <w:t>pre-roll 用于防止句首被截掉，post-roll 用于防止点击结束后句尾尚未完成传输。</w:t>
      </w:r>
    </w:p>
    <w:p w14:paraId="718A2269">
      <w:r>
        <w:br w:type="page"/>
      </w:r>
    </w:p>
    <w:p w14:paraId="4B042575">
      <w:pPr>
        <w:pStyle w:val="3"/>
      </w:pPr>
      <w:r>
        <w:t>8. Part 2 Long Turn 的特殊处理</w:t>
      </w:r>
    </w:p>
    <w:p w14:paraId="4655642B">
      <w:pPr>
        <w:spacing w:after="60"/>
        <w:jc w:val="center"/>
      </w:pPr>
      <w:r>
        <w:drawing>
          <wp:inline distT="0" distB="0" distL="114300" distR="114300">
            <wp:extent cx="8961120" cy="1746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7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3E17">
      <w:pPr>
        <w:spacing w:after="160"/>
        <w:jc w:val="center"/>
      </w:pPr>
      <w:r>
        <w:rPr>
          <w:i/>
          <w:color w:val="6B7280"/>
          <w:sz w:val="18"/>
        </w:rPr>
        <w:t>图 8  Part 2：多个 VAD Chunk 仍属于一个逻辑回答</w:t>
      </w:r>
    </w:p>
    <w:p w14:paraId="16206F74">
      <w:pPr>
        <w:spacing w:after="80" w:line="276" w:lineRule="auto"/>
      </w:pPr>
      <w:r>
        <w:t>Part 2 与普通题最大的区别是：speech_stopped 只表示一次自然停顿，不代表回答结束。系统允许在同一个 turnId 下产生多个 SpeechChunk。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7936CE1B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37124B78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0C07155E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普通 Turn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5EDB99A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Part 2 Long Turn</w:t>
            </w:r>
          </w:p>
        </w:tc>
      </w:tr>
      <w:tr w14:paraId="24EF51DB">
        <w:trPr>
          <w:jc w:val="center"/>
        </w:trPr>
        <w:tc>
          <w:tcPr>
            <w:tcW w:w="5046" w:type="dxa"/>
            <w:vAlign w:val="center"/>
          </w:tcPr>
          <w:p w14:paraId="59A25BFF">
            <w:pPr>
              <w:spacing w:after="0" w:line="240" w:lineRule="auto"/>
            </w:pPr>
            <w:r>
              <w:rPr>
                <w:sz w:val="18"/>
              </w:rPr>
              <w:t>speech_stopped</w:t>
            </w:r>
          </w:p>
        </w:tc>
        <w:tc>
          <w:tcPr>
            <w:tcW w:w="5046" w:type="dxa"/>
            <w:vAlign w:val="center"/>
          </w:tcPr>
          <w:p w14:paraId="42CF9E92">
            <w:pPr>
              <w:spacing w:after="0" w:line="240" w:lineRule="auto"/>
            </w:pPr>
            <w:r>
              <w:rPr>
                <w:sz w:val="18"/>
              </w:rPr>
              <w:t>记录停顿，不建议直接跳题</w:t>
            </w:r>
          </w:p>
        </w:tc>
        <w:tc>
          <w:tcPr>
            <w:tcW w:w="5046" w:type="dxa"/>
            <w:vAlign w:val="center"/>
          </w:tcPr>
          <w:p w14:paraId="6ACCE5CB">
            <w:pPr>
              <w:spacing w:after="0" w:line="240" w:lineRule="auto"/>
            </w:pPr>
            <w:r>
              <w:rPr>
                <w:sz w:val="18"/>
              </w:rPr>
              <w:t>只关闭当前 Chunk，绝不结束逻辑 Turn</w:t>
            </w:r>
          </w:p>
        </w:tc>
      </w:tr>
      <w:tr w14:paraId="4EE3A924">
        <w:trPr>
          <w:jc w:val="center"/>
        </w:trPr>
        <w:tc>
          <w:tcPr>
            <w:tcW w:w="5046" w:type="dxa"/>
            <w:vAlign w:val="center"/>
          </w:tcPr>
          <w:p w14:paraId="536EDB32">
            <w:pPr>
              <w:spacing w:after="0" w:line="240" w:lineRule="auto"/>
            </w:pPr>
            <w:r>
              <w:rPr>
                <w:sz w:val="18"/>
              </w:rPr>
              <w:t>用户点击结束</w:t>
            </w:r>
          </w:p>
        </w:tc>
        <w:tc>
          <w:tcPr>
            <w:tcW w:w="5046" w:type="dxa"/>
            <w:vAlign w:val="center"/>
          </w:tcPr>
          <w:p w14:paraId="67EB6A37">
            <w:pPr>
              <w:spacing w:after="0" w:line="240" w:lineRule="auto"/>
            </w:pPr>
            <w:r>
              <w:rPr>
                <w:sz w:val="18"/>
              </w:rPr>
              <w:t>发送 turn.completed</w:t>
            </w:r>
          </w:p>
        </w:tc>
        <w:tc>
          <w:tcPr>
            <w:tcW w:w="5046" w:type="dxa"/>
            <w:vAlign w:val="center"/>
          </w:tcPr>
          <w:p w14:paraId="2A2C50CB">
            <w:pPr>
              <w:spacing w:after="0" w:line="240" w:lineRule="auto"/>
            </w:pPr>
            <w:r>
              <w:rPr>
                <w:sz w:val="18"/>
              </w:rPr>
              <w:t>发送 part2.speaking_completed</w:t>
            </w:r>
          </w:p>
        </w:tc>
      </w:tr>
      <w:tr w14:paraId="3D11FB3C">
        <w:trPr>
          <w:jc w:val="center"/>
        </w:trPr>
        <w:tc>
          <w:tcPr>
            <w:tcW w:w="5046" w:type="dxa"/>
            <w:vAlign w:val="center"/>
          </w:tcPr>
          <w:p w14:paraId="251BEB4F">
            <w:pPr>
              <w:spacing w:after="0" w:line="240" w:lineRule="auto"/>
            </w:pPr>
            <w:r>
              <w:rPr>
                <w:sz w:val="18"/>
              </w:rPr>
              <w:t>回答时间到</w:t>
            </w:r>
          </w:p>
        </w:tc>
        <w:tc>
          <w:tcPr>
            <w:tcW w:w="5046" w:type="dxa"/>
            <w:vAlign w:val="center"/>
          </w:tcPr>
          <w:p w14:paraId="3B3F44D0">
            <w:pPr>
              <w:spacing w:after="0" w:line="240" w:lineRule="auto"/>
            </w:pPr>
            <w:r>
              <w:rPr>
                <w:sz w:val="18"/>
              </w:rPr>
              <w:t>完成当前 Turn</w:t>
            </w:r>
          </w:p>
        </w:tc>
        <w:tc>
          <w:tcPr>
            <w:tcW w:w="5046" w:type="dxa"/>
            <w:vAlign w:val="center"/>
          </w:tcPr>
          <w:p w14:paraId="66CFD46B">
            <w:pPr>
              <w:spacing w:after="0" w:line="240" w:lineRule="auto"/>
            </w:pPr>
            <w:r>
              <w:rPr>
                <w:sz w:val="18"/>
              </w:rPr>
              <w:t>强制完成整个 Long Turn</w:t>
            </w:r>
          </w:p>
        </w:tc>
      </w:tr>
      <w:tr w14:paraId="6DA400E5">
        <w:trPr>
          <w:jc w:val="center"/>
        </w:trPr>
        <w:tc>
          <w:tcPr>
            <w:tcW w:w="5046" w:type="dxa"/>
            <w:vAlign w:val="center"/>
          </w:tcPr>
          <w:p w14:paraId="11CEC0CB">
            <w:pPr>
              <w:spacing w:after="0" w:line="240" w:lineRule="auto"/>
            </w:pPr>
            <w:r>
              <w:rPr>
                <w:sz w:val="18"/>
              </w:rPr>
              <w:t>模型尝试自动回答</w:t>
            </w:r>
          </w:p>
        </w:tc>
        <w:tc>
          <w:tcPr>
            <w:tcW w:w="5046" w:type="dxa"/>
            <w:vAlign w:val="center"/>
          </w:tcPr>
          <w:p w14:paraId="49205C5B">
            <w:pPr>
              <w:spacing w:after="0" w:line="240" w:lineRule="auto"/>
            </w:pPr>
            <w:r>
              <w:rPr>
                <w:sz w:val="18"/>
              </w:rPr>
              <w:t>按场景策略处理</w:t>
            </w:r>
          </w:p>
        </w:tc>
        <w:tc>
          <w:tcPr>
            <w:tcW w:w="5046" w:type="dxa"/>
            <w:vAlign w:val="center"/>
          </w:tcPr>
          <w:p w14:paraId="033624AE">
            <w:pPr>
              <w:spacing w:after="0" w:line="240" w:lineRule="auto"/>
            </w:pPr>
            <w:r>
              <w:rPr>
                <w:sz w:val="18"/>
              </w:rPr>
              <w:t>前端静音并 best-effort response.cancel</w:t>
            </w:r>
          </w:p>
        </w:tc>
      </w:tr>
    </w:tbl>
    <w:p w14:paraId="67967EC0">
      <w:pPr>
        <w:spacing w:after="0"/>
      </w:pPr>
    </w:p>
    <w:p w14:paraId="284043AE">
      <w:pPr>
        <w:spacing w:after="80" w:line="276" w:lineRule="auto"/>
      </w:pPr>
      <w:r>
        <w:t>该规则解决了考生思考停顿导致 Part 2 被提前结束的问题。</w:t>
      </w:r>
    </w:p>
    <w:p w14:paraId="2F8AB25A">
      <w:r>
        <w:br w:type="page"/>
      </w:r>
    </w:p>
    <w:p w14:paraId="758B1CC1">
      <w:pPr>
        <w:pStyle w:val="3"/>
      </w:pPr>
      <w:r>
        <w:t>9. 考后异步评分调用流程</w:t>
      </w:r>
    </w:p>
    <w:p w14:paraId="7A58F73D">
      <w:pPr>
        <w:spacing w:after="60"/>
        <w:jc w:val="center"/>
      </w:pPr>
      <w:r>
        <w:drawing>
          <wp:inline distT="0" distB="0" distL="114300" distR="114300">
            <wp:extent cx="9144000" cy="1481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8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DA37">
      <w:pPr>
        <w:spacing w:after="160"/>
        <w:jc w:val="center"/>
      </w:pPr>
      <w:r>
        <w:rPr>
          <w:i/>
          <w:color w:val="6B7280"/>
          <w:sz w:val="18"/>
        </w:rPr>
        <w:t>图 9  评分编排：部分并行、分阶段合并、Java 最终计算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4EF6F075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649FEAD7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评分维度 / 证据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11B262C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主要负责方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09076997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主要输入</w:t>
            </w:r>
          </w:p>
        </w:tc>
      </w:tr>
      <w:tr w14:paraId="5E48814C">
        <w:trPr>
          <w:jc w:val="center"/>
        </w:trPr>
        <w:tc>
          <w:tcPr>
            <w:tcW w:w="5046" w:type="dxa"/>
            <w:vAlign w:val="center"/>
          </w:tcPr>
          <w:p w14:paraId="339F8410">
            <w:pPr>
              <w:spacing w:after="0" w:line="240" w:lineRule="auto"/>
            </w:pPr>
            <w:r>
              <w:rPr>
                <w:sz w:val="18"/>
              </w:rPr>
              <w:t>FC</w:t>
            </w:r>
          </w:p>
        </w:tc>
        <w:tc>
          <w:tcPr>
            <w:tcW w:w="5046" w:type="dxa"/>
            <w:vAlign w:val="center"/>
          </w:tcPr>
          <w:p w14:paraId="67E55D12">
            <w:pPr>
              <w:spacing w:after="0" w:line="240" w:lineRule="auto"/>
            </w:pPr>
            <w:r>
              <w:rPr>
                <w:sz w:val="18"/>
              </w:rPr>
              <w:t>Qwen Language Evidence + Holistic Judge</w:t>
            </w:r>
          </w:p>
        </w:tc>
        <w:tc>
          <w:tcPr>
            <w:tcW w:w="5046" w:type="dxa"/>
            <w:vAlign w:val="center"/>
          </w:tcPr>
          <w:p w14:paraId="36F0DA09">
            <w:pPr>
              <w:spacing w:after="0" w:line="240" w:lineRule="auto"/>
            </w:pPr>
            <w:r>
              <w:rPr>
                <w:sz w:val="18"/>
              </w:rPr>
              <w:t>rawTranscript、题目、语速、停顿、沉默比例</w:t>
            </w:r>
          </w:p>
        </w:tc>
      </w:tr>
      <w:tr w14:paraId="5C2C0C3A">
        <w:trPr>
          <w:jc w:val="center"/>
        </w:trPr>
        <w:tc>
          <w:tcPr>
            <w:tcW w:w="5046" w:type="dxa"/>
            <w:vAlign w:val="center"/>
          </w:tcPr>
          <w:p w14:paraId="34B12B04">
            <w:pPr>
              <w:spacing w:after="0" w:line="240" w:lineRule="auto"/>
            </w:pPr>
            <w:r>
              <w:rPr>
                <w:sz w:val="18"/>
              </w:rPr>
              <w:t>LR</w:t>
            </w:r>
          </w:p>
        </w:tc>
        <w:tc>
          <w:tcPr>
            <w:tcW w:w="5046" w:type="dxa"/>
            <w:vAlign w:val="center"/>
          </w:tcPr>
          <w:p w14:paraId="353147E5">
            <w:pPr>
              <w:spacing w:after="0" w:line="240" w:lineRule="auto"/>
            </w:pPr>
            <w:r>
              <w:rPr>
                <w:sz w:val="18"/>
              </w:rPr>
              <w:t>Qwen Language Evidence + Holistic Judge</w:t>
            </w:r>
          </w:p>
        </w:tc>
        <w:tc>
          <w:tcPr>
            <w:tcW w:w="5046" w:type="dxa"/>
            <w:vAlign w:val="center"/>
          </w:tcPr>
          <w:p w14:paraId="3C694BD1">
            <w:pPr>
              <w:spacing w:after="0" w:line="240" w:lineRule="auto"/>
            </w:pPr>
            <w:r>
              <w:rPr>
                <w:sz w:val="18"/>
              </w:rPr>
              <w:t>整场原始转写、题目上下文</w:t>
            </w:r>
          </w:p>
        </w:tc>
      </w:tr>
      <w:tr w14:paraId="728CEED2">
        <w:trPr>
          <w:jc w:val="center"/>
        </w:trPr>
        <w:tc>
          <w:tcPr>
            <w:tcW w:w="5046" w:type="dxa"/>
            <w:vAlign w:val="center"/>
          </w:tcPr>
          <w:p w14:paraId="5D0EB74A">
            <w:pPr>
              <w:spacing w:after="0" w:line="240" w:lineRule="auto"/>
            </w:pPr>
            <w:r>
              <w:rPr>
                <w:sz w:val="18"/>
              </w:rPr>
              <w:t>GRA</w:t>
            </w:r>
          </w:p>
        </w:tc>
        <w:tc>
          <w:tcPr>
            <w:tcW w:w="5046" w:type="dxa"/>
            <w:vAlign w:val="center"/>
          </w:tcPr>
          <w:p w14:paraId="67C65A71">
            <w:pPr>
              <w:spacing w:after="0" w:line="240" w:lineRule="auto"/>
            </w:pPr>
            <w:r>
              <w:rPr>
                <w:sz w:val="18"/>
              </w:rPr>
              <w:t>Qwen Language Evidence + Holistic Judge</w:t>
            </w:r>
          </w:p>
        </w:tc>
        <w:tc>
          <w:tcPr>
            <w:tcW w:w="5046" w:type="dxa"/>
            <w:vAlign w:val="center"/>
          </w:tcPr>
          <w:p w14:paraId="685B0E0A">
            <w:pPr>
              <w:spacing w:after="0" w:line="240" w:lineRule="auto"/>
            </w:pPr>
            <w:r>
              <w:rPr>
                <w:sz w:val="18"/>
              </w:rPr>
              <w:t>整场原始转写、语法结构和错误</w:t>
            </w:r>
          </w:p>
        </w:tc>
      </w:tr>
      <w:tr w14:paraId="2A20B998">
        <w:trPr>
          <w:jc w:val="center"/>
        </w:trPr>
        <w:tc>
          <w:tcPr>
            <w:tcW w:w="5046" w:type="dxa"/>
            <w:vAlign w:val="center"/>
          </w:tcPr>
          <w:p w14:paraId="1016872C">
            <w:pPr>
              <w:spacing w:after="0" w:line="240" w:lineRule="auto"/>
            </w:pPr>
            <w:r>
              <w:rPr>
                <w:sz w:val="18"/>
              </w:rPr>
              <w:t>Pronunciation</w:t>
            </w:r>
          </w:p>
        </w:tc>
        <w:tc>
          <w:tcPr>
            <w:tcW w:w="5046" w:type="dxa"/>
            <w:vAlign w:val="center"/>
          </w:tcPr>
          <w:p w14:paraId="44420EE0">
            <w:pPr>
              <w:spacing w:after="0" w:line="240" w:lineRule="auto"/>
            </w:pPr>
            <w:r>
              <w:rPr>
                <w:sz w:val="18"/>
              </w:rPr>
              <w:t>Qwen Judge 综合讯飞 ISE Evidence</w:t>
            </w:r>
          </w:p>
        </w:tc>
        <w:tc>
          <w:tcPr>
            <w:tcW w:w="5046" w:type="dxa"/>
            <w:vAlign w:val="center"/>
          </w:tcPr>
          <w:p w14:paraId="1DB9B3E5">
            <w:pPr>
              <w:spacing w:after="0" w:line="240" w:lineRule="auto"/>
            </w:pPr>
            <w:r>
              <w:rPr>
                <w:sz w:val="18"/>
              </w:rPr>
              <w:t>PCM、transcript、Accuracy/Fluency/Integrity</w:t>
            </w:r>
          </w:p>
        </w:tc>
      </w:tr>
      <w:tr w14:paraId="1923E295">
        <w:trPr>
          <w:jc w:val="center"/>
        </w:trPr>
        <w:tc>
          <w:tcPr>
            <w:tcW w:w="5046" w:type="dxa"/>
            <w:vAlign w:val="center"/>
          </w:tcPr>
          <w:p w14:paraId="4F6E59BC">
            <w:pPr>
              <w:spacing w:after="0" w:line="240" w:lineRule="auto"/>
            </w:pPr>
            <w:r>
              <w:rPr>
                <w:sz w:val="18"/>
              </w:rPr>
              <w:t>Overall</w:t>
            </w:r>
          </w:p>
        </w:tc>
        <w:tc>
          <w:tcPr>
            <w:tcW w:w="5046" w:type="dxa"/>
            <w:vAlign w:val="center"/>
          </w:tcPr>
          <w:p w14:paraId="4C9570DD">
            <w:pPr>
              <w:spacing w:after="0" w:line="240" w:lineRule="auto"/>
            </w:pPr>
            <w:r>
              <w:rPr>
                <w:sz w:val="18"/>
              </w:rPr>
              <w:t>IeltsBandCalculator（Java）</w:t>
            </w:r>
          </w:p>
        </w:tc>
        <w:tc>
          <w:tcPr>
            <w:tcW w:w="5046" w:type="dxa"/>
            <w:vAlign w:val="center"/>
          </w:tcPr>
          <w:p w14:paraId="689CB96B">
            <w:pPr>
              <w:spacing w:after="0" w:line="240" w:lineRule="auto"/>
            </w:pPr>
            <w:r>
              <w:rPr>
                <w:sz w:val="18"/>
              </w:rPr>
              <w:t>四个合法、非空的 0.5 步长 Band</w:t>
            </w:r>
          </w:p>
        </w:tc>
      </w:tr>
    </w:tbl>
    <w:p w14:paraId="35356AC2">
      <w:pPr>
        <w:spacing w:after="0"/>
      </w:pPr>
    </w:p>
    <w:p w14:paraId="0425612B">
      <w:pPr>
        <w:spacing w:after="80" w:line="276" w:lineRule="auto"/>
      </w:pPr>
      <w:r>
        <w:t>触发时间：考试过程中只采集证据；考试完成并调用 finalize 后，后台异步启动评分。Qwen Language Evidence 与各 Turn 的讯飞 ISE 尽量并行，综合 Judge 等待前置证据后执行。</w:t>
      </w:r>
    </w:p>
    <w:p w14:paraId="2F348133">
      <w:pPr>
        <w:spacing w:after="80" w:line="276" w:lineRule="auto"/>
      </w:pPr>
      <w:r>
        <w:t>状态规则：四项齐全并成功计算 Overall 为 COMPLETE；有部分可用证据但缺维度为 PARTIAL；无有效回答或无可用证据为 UNSCORABLE。</w:t>
      </w:r>
    </w:p>
    <w:p w14:paraId="25C1264B">
      <w:r>
        <w:br w:type="page"/>
      </w:r>
    </w:p>
    <w:p w14:paraId="136CF1F8">
      <w:pPr>
        <w:pStyle w:val="3"/>
      </w:pPr>
      <w:r>
        <w:t>10. Finalize、异步任务与报告轮询</w:t>
      </w:r>
    </w:p>
    <w:p w14:paraId="6CC2A966">
      <w:pPr>
        <w:spacing w:after="60"/>
        <w:jc w:val="center"/>
      </w:pPr>
      <w:r>
        <w:drawing>
          <wp:inline distT="0" distB="0" distL="114300" distR="114300">
            <wp:extent cx="8869680" cy="137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13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B37D">
      <w:pPr>
        <w:spacing w:after="160"/>
        <w:jc w:val="center"/>
      </w:pPr>
      <w:r>
        <w:rPr>
          <w:i/>
          <w:color w:val="6B7280"/>
          <w:sz w:val="18"/>
        </w:rPr>
        <w:t>图 10  前端不会同步等待评分，而是轮询最终报告</w:t>
      </w:r>
    </w:p>
    <w:p w14:paraId="07C433CD">
      <w:pPr>
        <w:spacing w:after="80" w:line="276" w:lineRule="auto"/>
      </w:pPr>
      <w:r>
        <w:t>Finalize 接口具有幂等语义：首次调用启动后台评分并返回 202；重复调用如果任务仍在执行，继续返回状态；报告已经生成时直接返回已有结果。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1F0CF7D8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38E1DDDF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接口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392DC70E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典型返回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30D6D91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14:paraId="24A345B4">
        <w:trPr>
          <w:jc w:val="center"/>
        </w:trPr>
        <w:tc>
          <w:tcPr>
            <w:tcW w:w="5046" w:type="dxa"/>
            <w:vAlign w:val="center"/>
          </w:tcPr>
          <w:p w14:paraId="093DE553">
            <w:pPr>
              <w:spacing w:after="0" w:line="240" w:lineRule="auto"/>
            </w:pPr>
            <w:r>
              <w:rPr>
                <w:sz w:val="18"/>
              </w:rPr>
              <w:t>POST /api/ielts/attempts</w:t>
            </w:r>
          </w:p>
        </w:tc>
        <w:tc>
          <w:tcPr>
            <w:tcW w:w="5046" w:type="dxa"/>
            <w:vAlign w:val="center"/>
          </w:tcPr>
          <w:p w14:paraId="740B2281">
            <w:pPr>
              <w:spacing w:after="0" w:line="240" w:lineRule="auto"/>
            </w:pPr>
            <w:r>
              <w:rPr>
                <w:sz w:val="18"/>
              </w:rPr>
              <w:t>201 + attemptId</w:t>
            </w:r>
          </w:p>
        </w:tc>
        <w:tc>
          <w:tcPr>
            <w:tcW w:w="5046" w:type="dxa"/>
            <w:vAlign w:val="center"/>
          </w:tcPr>
          <w:p w14:paraId="28CEA3A3">
            <w:pPr>
              <w:spacing w:after="0" w:line="240" w:lineRule="auto"/>
            </w:pPr>
            <w:r>
              <w:rPr>
                <w:sz w:val="18"/>
              </w:rPr>
              <w:t>创建考试记录</w:t>
            </w:r>
          </w:p>
        </w:tc>
      </w:tr>
      <w:tr w14:paraId="36B91E15">
        <w:trPr>
          <w:jc w:val="center"/>
        </w:trPr>
        <w:tc>
          <w:tcPr>
            <w:tcW w:w="5046" w:type="dxa"/>
            <w:vAlign w:val="center"/>
          </w:tcPr>
          <w:p w14:paraId="096884D6">
            <w:pPr>
              <w:spacing w:after="0" w:line="240" w:lineRule="auto"/>
            </w:pPr>
            <w:r>
              <w:rPr>
                <w:sz w:val="18"/>
              </w:rPr>
              <w:t>POST /{attemptId}/finalize</w:t>
            </w:r>
          </w:p>
        </w:tc>
        <w:tc>
          <w:tcPr>
            <w:tcW w:w="5046" w:type="dxa"/>
            <w:vAlign w:val="center"/>
          </w:tcPr>
          <w:p w14:paraId="47489D35">
            <w:pPr>
              <w:spacing w:after="0" w:line="240" w:lineRule="auto"/>
            </w:pPr>
            <w:r>
              <w:rPr>
                <w:sz w:val="18"/>
              </w:rPr>
              <w:t>202 FINALIZING / SCORING</w:t>
            </w:r>
          </w:p>
        </w:tc>
        <w:tc>
          <w:tcPr>
            <w:tcW w:w="5046" w:type="dxa"/>
            <w:vAlign w:val="center"/>
          </w:tcPr>
          <w:p w14:paraId="42A42D96">
            <w:pPr>
              <w:spacing w:after="0" w:line="240" w:lineRule="auto"/>
            </w:pPr>
            <w:r>
              <w:rPr>
                <w:sz w:val="18"/>
              </w:rPr>
              <w:t>触发或复用后台评分任务</w:t>
            </w:r>
          </w:p>
        </w:tc>
      </w:tr>
      <w:tr w14:paraId="33A56506">
        <w:trPr>
          <w:jc w:val="center"/>
        </w:trPr>
        <w:tc>
          <w:tcPr>
            <w:tcW w:w="5046" w:type="dxa"/>
            <w:vAlign w:val="center"/>
          </w:tcPr>
          <w:p w14:paraId="5772EC88">
            <w:pPr>
              <w:spacing w:after="0" w:line="240" w:lineRule="auto"/>
            </w:pPr>
            <w:r>
              <w:rPr>
                <w:sz w:val="18"/>
              </w:rPr>
              <w:t>GET /{attemptId}/scoring-status</w:t>
            </w:r>
          </w:p>
        </w:tc>
        <w:tc>
          <w:tcPr>
            <w:tcW w:w="5046" w:type="dxa"/>
            <w:vAlign w:val="center"/>
          </w:tcPr>
          <w:p w14:paraId="7976030A">
            <w:pPr>
              <w:spacing w:after="0" w:line="240" w:lineRule="auto"/>
            </w:pPr>
            <w:r>
              <w:rPr>
                <w:sz w:val="18"/>
              </w:rPr>
              <w:t>200 + status</w:t>
            </w:r>
          </w:p>
        </w:tc>
        <w:tc>
          <w:tcPr>
            <w:tcW w:w="5046" w:type="dxa"/>
            <w:vAlign w:val="center"/>
          </w:tcPr>
          <w:p w14:paraId="04D7B051">
            <w:pPr>
              <w:spacing w:after="0" w:line="240" w:lineRule="auto"/>
            </w:pPr>
            <w:r>
              <w:rPr>
                <w:sz w:val="18"/>
              </w:rPr>
              <w:t>轻量查询状态</w:t>
            </w:r>
          </w:p>
        </w:tc>
      </w:tr>
      <w:tr w14:paraId="5E590CC8">
        <w:trPr>
          <w:jc w:val="center"/>
        </w:trPr>
        <w:tc>
          <w:tcPr>
            <w:tcW w:w="5046" w:type="dxa"/>
            <w:vAlign w:val="center"/>
          </w:tcPr>
          <w:p w14:paraId="112C46E0">
            <w:pPr>
              <w:spacing w:after="0" w:line="240" w:lineRule="auto"/>
            </w:pPr>
            <w:r>
              <w:rPr>
                <w:sz w:val="18"/>
              </w:rPr>
              <w:t>GET /{attemptId}/report</w:t>
            </w:r>
          </w:p>
        </w:tc>
        <w:tc>
          <w:tcPr>
            <w:tcW w:w="5046" w:type="dxa"/>
            <w:vAlign w:val="center"/>
          </w:tcPr>
          <w:p w14:paraId="57DD9552">
            <w:pPr>
              <w:spacing w:after="0" w:line="240" w:lineRule="auto"/>
            </w:pPr>
            <w:r>
              <w:rPr>
                <w:sz w:val="18"/>
              </w:rPr>
              <w:t>202 或 200 IeltsReport</w:t>
            </w:r>
          </w:p>
        </w:tc>
        <w:tc>
          <w:tcPr>
            <w:tcW w:w="5046" w:type="dxa"/>
            <w:vAlign w:val="center"/>
          </w:tcPr>
          <w:p w14:paraId="42BC219A">
            <w:pPr>
              <w:spacing w:after="0" w:line="240" w:lineRule="auto"/>
            </w:pPr>
            <w:r>
              <w:rPr>
                <w:sz w:val="18"/>
              </w:rPr>
              <w:t>轮询最终结果</w:t>
            </w:r>
          </w:p>
        </w:tc>
      </w:tr>
      <w:tr w14:paraId="4F8C0408">
        <w:trPr>
          <w:jc w:val="center"/>
        </w:trPr>
        <w:tc>
          <w:tcPr>
            <w:tcW w:w="5046" w:type="dxa"/>
            <w:vAlign w:val="center"/>
          </w:tcPr>
          <w:p w14:paraId="5671269C">
            <w:pPr>
              <w:spacing w:after="0" w:line="240" w:lineRule="auto"/>
            </w:pPr>
            <w:r>
              <w:rPr>
                <w:sz w:val="18"/>
              </w:rPr>
              <w:t>POST /{attemptId}/abandon</w:t>
            </w:r>
          </w:p>
        </w:tc>
        <w:tc>
          <w:tcPr>
            <w:tcW w:w="5046" w:type="dxa"/>
            <w:vAlign w:val="center"/>
          </w:tcPr>
          <w:p w14:paraId="7F63B4F5">
            <w:pPr>
              <w:spacing w:after="0" w:line="240" w:lineRule="auto"/>
            </w:pPr>
            <w:r>
              <w:rPr>
                <w:sz w:val="18"/>
              </w:rPr>
              <w:t>200 ABANDONED</w:t>
            </w:r>
          </w:p>
        </w:tc>
        <w:tc>
          <w:tcPr>
            <w:tcW w:w="5046" w:type="dxa"/>
            <w:vAlign w:val="center"/>
          </w:tcPr>
          <w:p w14:paraId="147E0889">
            <w:pPr>
              <w:spacing w:after="0" w:line="240" w:lineRule="auto"/>
            </w:pPr>
            <w:r>
              <w:rPr>
                <w:sz w:val="18"/>
              </w:rPr>
              <w:t>用户主动退出</w:t>
            </w:r>
          </w:p>
        </w:tc>
      </w:tr>
    </w:tbl>
    <w:p w14:paraId="7A98BC8A">
      <w:pPr>
        <w:spacing w:after="0"/>
      </w:pPr>
    </w:p>
    <w:p w14:paraId="67D14122">
      <w:r>
        <w:br w:type="page"/>
      </w:r>
    </w:p>
    <w:p w14:paraId="11797B80">
      <w:pPr>
        <w:pStyle w:val="3"/>
      </w:pPr>
      <w:r>
        <w:t>11. 异常、超时与评分降级关系</w:t>
      </w:r>
    </w:p>
    <w:p w14:paraId="4813BE62">
      <w:pPr>
        <w:spacing w:after="60"/>
        <w:jc w:val="center"/>
      </w:pPr>
      <w:r>
        <w:drawing>
          <wp:inline distT="0" distB="0" distL="114300" distR="114300">
            <wp:extent cx="8595360" cy="2749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274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AAD6">
      <w:pPr>
        <w:spacing w:after="160"/>
        <w:jc w:val="center"/>
      </w:pPr>
      <w:r>
        <w:rPr>
          <w:i/>
          <w:color w:val="6B7280"/>
          <w:sz w:val="18"/>
        </w:rPr>
        <w:t>图 11  不同异常进入不同会话或评分状态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01DB75D9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16CEEAD5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异常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18A8D7D4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系统处理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43E01D8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用户结果</w:t>
            </w:r>
          </w:p>
        </w:tc>
      </w:tr>
      <w:tr w14:paraId="42AC722B">
        <w:trPr>
          <w:jc w:val="center"/>
        </w:trPr>
        <w:tc>
          <w:tcPr>
            <w:tcW w:w="5046" w:type="dxa"/>
            <w:vAlign w:val="center"/>
          </w:tcPr>
          <w:p w14:paraId="6AF1CC6D">
            <w:pPr>
              <w:spacing w:after="0" w:line="240" w:lineRule="auto"/>
            </w:pPr>
            <w:r>
              <w:rPr>
                <w:sz w:val="18"/>
              </w:rPr>
              <w:t>Provider 绑定超时</w:t>
            </w:r>
          </w:p>
        </w:tc>
        <w:tc>
          <w:tcPr>
            <w:tcW w:w="5046" w:type="dxa"/>
            <w:vAlign w:val="center"/>
          </w:tcPr>
          <w:p w14:paraId="45B8AA4B">
            <w:pPr>
              <w:spacing w:after="0" w:line="240" w:lineRule="auto"/>
            </w:pPr>
            <w:r>
              <w:rPr>
                <w:sz w:val="18"/>
              </w:rPr>
              <w:t>Session fail、取消/结算额度、关闭 WebRTC</w:t>
            </w:r>
          </w:p>
        </w:tc>
        <w:tc>
          <w:tcPr>
            <w:tcW w:w="5046" w:type="dxa"/>
            <w:vAlign w:val="center"/>
          </w:tcPr>
          <w:p w14:paraId="531B115F">
            <w:pPr>
              <w:spacing w:after="0" w:line="240" w:lineRule="auto"/>
            </w:pPr>
            <w:r>
              <w:rPr>
                <w:sz w:val="18"/>
              </w:rPr>
              <w:t>TECHNICAL_INTERRUPTED</w:t>
            </w:r>
          </w:p>
        </w:tc>
      </w:tr>
      <w:tr w14:paraId="3D3EA3BB">
        <w:trPr>
          <w:jc w:val="center"/>
        </w:trPr>
        <w:tc>
          <w:tcPr>
            <w:tcW w:w="5046" w:type="dxa"/>
            <w:vAlign w:val="center"/>
          </w:tcPr>
          <w:p w14:paraId="65807874">
            <w:pPr>
              <w:spacing w:after="0" w:line="240" w:lineRule="auto"/>
            </w:pPr>
            <w:r>
              <w:rPr>
                <w:sz w:val="18"/>
              </w:rPr>
              <w:t>Realtime 连接异常</w:t>
            </w:r>
          </w:p>
        </w:tc>
        <w:tc>
          <w:tcPr>
            <w:tcW w:w="5046" w:type="dxa"/>
            <w:vAlign w:val="center"/>
          </w:tcPr>
          <w:p w14:paraId="49FDCDA3">
            <w:pPr>
              <w:spacing w:after="0" w:line="240" w:lineRule="auto"/>
            </w:pPr>
            <w:r>
              <w:rPr>
                <w:sz w:val="18"/>
              </w:rPr>
              <w:t>保存错误码并结束公共会话</w:t>
            </w:r>
          </w:p>
        </w:tc>
        <w:tc>
          <w:tcPr>
            <w:tcW w:w="5046" w:type="dxa"/>
            <w:vAlign w:val="center"/>
          </w:tcPr>
          <w:p w14:paraId="6E581B63">
            <w:pPr>
              <w:spacing w:after="0" w:line="240" w:lineRule="auto"/>
            </w:pPr>
            <w:r>
              <w:rPr>
                <w:sz w:val="18"/>
              </w:rPr>
              <w:t>技术中断，不生成完整考试结论</w:t>
            </w:r>
          </w:p>
        </w:tc>
      </w:tr>
      <w:tr w14:paraId="189F6655">
        <w:trPr>
          <w:jc w:val="center"/>
        </w:trPr>
        <w:tc>
          <w:tcPr>
            <w:tcW w:w="5046" w:type="dxa"/>
            <w:vAlign w:val="center"/>
          </w:tcPr>
          <w:p w14:paraId="181197AD">
            <w:pPr>
              <w:spacing w:after="0" w:line="240" w:lineRule="auto"/>
            </w:pPr>
            <w:r>
              <w:rPr>
                <w:sz w:val="18"/>
              </w:rPr>
              <w:t>部分 Turn 缺音频</w:t>
            </w:r>
          </w:p>
        </w:tc>
        <w:tc>
          <w:tcPr>
            <w:tcW w:w="5046" w:type="dxa"/>
            <w:vAlign w:val="center"/>
          </w:tcPr>
          <w:p w14:paraId="2C3FBA82">
            <w:pPr>
              <w:spacing w:after="0" w:line="240" w:lineRule="auto"/>
            </w:pPr>
            <w:r>
              <w:rPr>
                <w:sz w:val="18"/>
              </w:rPr>
              <w:t>保留文本维度，增加数据质量警告</w:t>
            </w:r>
          </w:p>
        </w:tc>
        <w:tc>
          <w:tcPr>
            <w:tcW w:w="5046" w:type="dxa"/>
            <w:vAlign w:val="center"/>
          </w:tcPr>
          <w:p w14:paraId="0A16AA7A">
            <w:pPr>
              <w:spacing w:after="0" w:line="240" w:lineRule="auto"/>
            </w:pPr>
            <w:r>
              <w:rPr>
                <w:sz w:val="18"/>
              </w:rPr>
              <w:t>可能 PARTIAL</w:t>
            </w:r>
          </w:p>
        </w:tc>
      </w:tr>
      <w:tr w14:paraId="1148E5D1">
        <w:trPr>
          <w:jc w:val="center"/>
        </w:trPr>
        <w:tc>
          <w:tcPr>
            <w:tcW w:w="5046" w:type="dxa"/>
            <w:vAlign w:val="center"/>
          </w:tcPr>
          <w:p w14:paraId="0DCC7467">
            <w:pPr>
              <w:spacing w:after="0" w:line="240" w:lineRule="auto"/>
            </w:pPr>
            <w:r>
              <w:rPr>
                <w:sz w:val="18"/>
              </w:rPr>
              <w:t>讯飞失败或 LOW 置信</w:t>
            </w:r>
          </w:p>
        </w:tc>
        <w:tc>
          <w:tcPr>
            <w:tcW w:w="5046" w:type="dxa"/>
            <w:vAlign w:val="center"/>
          </w:tcPr>
          <w:p w14:paraId="01D66DCD">
            <w:pPr>
              <w:spacing w:after="0" w:line="240" w:lineRule="auto"/>
            </w:pPr>
            <w:r>
              <w:rPr>
                <w:sz w:val="18"/>
              </w:rPr>
              <w:t>不把讯飞分数直接换算 Band</w:t>
            </w:r>
          </w:p>
        </w:tc>
        <w:tc>
          <w:tcPr>
            <w:tcW w:w="5046" w:type="dxa"/>
            <w:vAlign w:val="center"/>
          </w:tcPr>
          <w:p w14:paraId="7D9A2A83">
            <w:pPr>
              <w:spacing w:after="0" w:line="240" w:lineRule="auto"/>
            </w:pPr>
            <w:r>
              <w:rPr>
                <w:sz w:val="18"/>
              </w:rPr>
              <w:t>P 或 Overall 可能为空</w:t>
            </w:r>
          </w:p>
        </w:tc>
      </w:tr>
      <w:tr w14:paraId="71CF682C">
        <w:trPr>
          <w:jc w:val="center"/>
        </w:trPr>
        <w:tc>
          <w:tcPr>
            <w:tcW w:w="5046" w:type="dxa"/>
            <w:vAlign w:val="center"/>
          </w:tcPr>
          <w:p w14:paraId="6CA37F98">
            <w:pPr>
              <w:spacing w:after="0" w:line="240" w:lineRule="auto"/>
            </w:pPr>
            <w:r>
              <w:rPr>
                <w:sz w:val="18"/>
              </w:rPr>
              <w:t>Qwen 非法 JSON / Judge 失败</w:t>
            </w:r>
          </w:p>
        </w:tc>
        <w:tc>
          <w:tcPr>
            <w:tcW w:w="5046" w:type="dxa"/>
            <w:vAlign w:val="center"/>
          </w:tcPr>
          <w:p w14:paraId="646B0FD5">
            <w:pPr>
              <w:spacing w:after="0" w:line="240" w:lineRule="auto"/>
            </w:pPr>
            <w:r>
              <w:rPr>
                <w:sz w:val="18"/>
              </w:rPr>
              <w:t>Provider 失败降级，保留可用发音证据</w:t>
            </w:r>
          </w:p>
        </w:tc>
        <w:tc>
          <w:tcPr>
            <w:tcW w:w="5046" w:type="dxa"/>
            <w:vAlign w:val="center"/>
          </w:tcPr>
          <w:p w14:paraId="77E8C3D7">
            <w:pPr>
              <w:spacing w:after="0" w:line="240" w:lineRule="auto"/>
            </w:pPr>
            <w:r>
              <w:rPr>
                <w:sz w:val="18"/>
              </w:rPr>
              <w:t>PARTIAL 或 UNSCORABLE</w:t>
            </w:r>
          </w:p>
        </w:tc>
      </w:tr>
      <w:tr w14:paraId="4E19BB88">
        <w:trPr>
          <w:jc w:val="center"/>
        </w:trPr>
        <w:tc>
          <w:tcPr>
            <w:tcW w:w="5046" w:type="dxa"/>
            <w:vAlign w:val="center"/>
          </w:tcPr>
          <w:p w14:paraId="0B0C6E65">
            <w:pPr>
              <w:spacing w:after="0" w:line="240" w:lineRule="auto"/>
            </w:pPr>
            <w:r>
              <w:rPr>
                <w:sz w:val="18"/>
              </w:rPr>
              <w:t>所有 rawTranscript 为空</w:t>
            </w:r>
          </w:p>
        </w:tc>
        <w:tc>
          <w:tcPr>
            <w:tcW w:w="5046" w:type="dxa"/>
            <w:vAlign w:val="center"/>
          </w:tcPr>
          <w:p w14:paraId="61779502">
            <w:pPr>
              <w:spacing w:after="0" w:line="240" w:lineRule="auto"/>
            </w:pPr>
            <w:r>
              <w:rPr>
                <w:sz w:val="18"/>
              </w:rPr>
              <w:t>跳过不必要 Provider 调用</w:t>
            </w:r>
          </w:p>
        </w:tc>
        <w:tc>
          <w:tcPr>
            <w:tcW w:w="5046" w:type="dxa"/>
            <w:vAlign w:val="center"/>
          </w:tcPr>
          <w:p w14:paraId="4F79FFFB">
            <w:pPr>
              <w:spacing w:after="0" w:line="240" w:lineRule="auto"/>
            </w:pPr>
            <w:r>
              <w:rPr>
                <w:sz w:val="18"/>
              </w:rPr>
              <w:t>UNSCORABLE</w:t>
            </w:r>
          </w:p>
        </w:tc>
      </w:tr>
    </w:tbl>
    <w:p w14:paraId="72603FBA">
      <w:pPr>
        <w:spacing w:after="0"/>
      </w:pPr>
    </w:p>
    <w:p w14:paraId="4EAAA251">
      <w:pPr>
        <w:spacing w:after="80" w:line="276" w:lineRule="auto"/>
      </w:pPr>
      <w:r>
        <w:t>降级原则：缺失数据保持 null，不补 0；不能可靠判断的维度明确显示“不可用”。</w:t>
      </w:r>
    </w:p>
    <w:p w14:paraId="5C86DA68">
      <w:r>
        <w:br w:type="page"/>
      </w:r>
    </w:p>
    <w:p w14:paraId="6A6F4563">
      <w:pPr>
        <w:pStyle w:val="3"/>
      </w:pPr>
      <w:r>
        <w:t>12. Session、Paper、State、Attempt、Turn、Report 的关系</w:t>
      </w:r>
    </w:p>
    <w:p w14:paraId="5A2C9CCB">
      <w:pPr>
        <w:spacing w:after="60"/>
        <w:jc w:val="center"/>
      </w:pPr>
      <w:r>
        <w:drawing>
          <wp:inline distT="0" distB="0" distL="114300" distR="114300">
            <wp:extent cx="8869680" cy="3091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0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81D2">
      <w:pPr>
        <w:spacing w:after="160"/>
        <w:jc w:val="center"/>
      </w:pPr>
      <w:r>
        <w:rPr>
          <w:i/>
          <w:color w:val="6B7280"/>
          <w:sz w:val="18"/>
        </w:rPr>
        <w:t>图 12  核心领域对象及生命周期关系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3D940B83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16FFE55C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7DD8E87C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表示什么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742F43FE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生命周期</w:t>
            </w:r>
          </w:p>
        </w:tc>
      </w:tr>
      <w:tr w14:paraId="74AB30CD">
        <w:trPr>
          <w:jc w:val="center"/>
        </w:trPr>
        <w:tc>
          <w:tcPr>
            <w:tcW w:w="5046" w:type="dxa"/>
            <w:vAlign w:val="center"/>
          </w:tcPr>
          <w:p w14:paraId="795BC5A0">
            <w:pPr>
              <w:spacing w:after="0" w:line="240" w:lineRule="auto"/>
            </w:pPr>
            <w:r>
              <w:rPr>
                <w:sz w:val="18"/>
              </w:rPr>
              <w:t>IeltsMockSceneSession</w:t>
            </w:r>
          </w:p>
        </w:tc>
        <w:tc>
          <w:tcPr>
            <w:tcW w:w="5046" w:type="dxa"/>
            <w:vAlign w:val="center"/>
          </w:tcPr>
          <w:p w14:paraId="7737AFD5">
            <w:pPr>
              <w:spacing w:after="0" w:line="240" w:lineRule="auto"/>
            </w:pPr>
            <w:r>
              <w:rPr>
                <w:sz w:val="18"/>
              </w:rPr>
              <w:t>实时连接和公共会话状态</w:t>
            </w:r>
          </w:p>
        </w:tc>
        <w:tc>
          <w:tcPr>
            <w:tcW w:w="5046" w:type="dxa"/>
            <w:vAlign w:val="center"/>
          </w:tcPr>
          <w:p w14:paraId="042D329E">
            <w:pPr>
              <w:spacing w:after="0" w:line="240" w:lineRule="auto"/>
            </w:pPr>
            <w:r>
              <w:rPr>
                <w:sz w:val="18"/>
              </w:rPr>
              <w:t>从 SDP 建连到 WebRTC 关闭</w:t>
            </w:r>
          </w:p>
        </w:tc>
      </w:tr>
      <w:tr w14:paraId="01E35E4B">
        <w:trPr>
          <w:jc w:val="center"/>
        </w:trPr>
        <w:tc>
          <w:tcPr>
            <w:tcW w:w="5046" w:type="dxa"/>
            <w:vAlign w:val="center"/>
          </w:tcPr>
          <w:p w14:paraId="3D9C84BF">
            <w:pPr>
              <w:spacing w:after="0" w:line="240" w:lineRule="auto"/>
            </w:pPr>
            <w:r>
              <w:rPr>
                <w:sz w:val="18"/>
              </w:rPr>
              <w:t>PaperSnapshot</w:t>
            </w:r>
          </w:p>
        </w:tc>
        <w:tc>
          <w:tcPr>
            <w:tcW w:w="5046" w:type="dxa"/>
            <w:vAlign w:val="center"/>
          </w:tcPr>
          <w:p w14:paraId="5832B26F">
            <w:pPr>
              <w:spacing w:after="0" w:line="240" w:lineRule="auto"/>
            </w:pPr>
            <w:r>
              <w:rPr>
                <w:sz w:val="18"/>
              </w:rPr>
              <w:t>本场实际使用的固定题目和计时</w:t>
            </w:r>
          </w:p>
        </w:tc>
        <w:tc>
          <w:tcPr>
            <w:tcW w:w="5046" w:type="dxa"/>
            <w:vAlign w:val="center"/>
          </w:tcPr>
          <w:p w14:paraId="171DB44C">
            <w:pPr>
              <w:spacing w:after="0" w:line="240" w:lineRule="auto"/>
            </w:pPr>
            <w:r>
              <w:rPr>
                <w:sz w:val="18"/>
              </w:rPr>
              <w:t>组卷后生成，整场不可修改</w:t>
            </w:r>
          </w:p>
        </w:tc>
      </w:tr>
      <w:tr w14:paraId="3AAF8482">
        <w:trPr>
          <w:jc w:val="center"/>
        </w:trPr>
        <w:tc>
          <w:tcPr>
            <w:tcW w:w="5046" w:type="dxa"/>
            <w:vAlign w:val="center"/>
          </w:tcPr>
          <w:p w14:paraId="11586F7B">
            <w:pPr>
              <w:spacing w:after="0" w:line="240" w:lineRule="auto"/>
            </w:pPr>
            <w:r>
              <w:rPr>
                <w:sz w:val="18"/>
              </w:rPr>
              <w:t>IeltsExamState</w:t>
            </w:r>
          </w:p>
        </w:tc>
        <w:tc>
          <w:tcPr>
            <w:tcW w:w="5046" w:type="dxa"/>
            <w:vAlign w:val="center"/>
          </w:tcPr>
          <w:p w14:paraId="4E9B9B71">
            <w:pPr>
              <w:spacing w:after="0" w:line="240" w:lineRule="auto"/>
            </w:pPr>
            <w:r>
              <w:rPr>
                <w:sz w:val="18"/>
              </w:rPr>
              <w:t>考试当前处于哪个阶段和题号</w:t>
            </w:r>
          </w:p>
        </w:tc>
        <w:tc>
          <w:tcPr>
            <w:tcW w:w="5046" w:type="dxa"/>
            <w:vAlign w:val="center"/>
          </w:tcPr>
          <w:p w14:paraId="695468D6">
            <w:pPr>
              <w:spacing w:after="0" w:line="240" w:lineRule="auto"/>
            </w:pPr>
            <w:r>
              <w:rPr>
                <w:sz w:val="18"/>
              </w:rPr>
              <w:t>每次合法考试事件后更新</w:t>
            </w:r>
          </w:p>
        </w:tc>
      </w:tr>
      <w:tr w14:paraId="58D9DD59">
        <w:trPr>
          <w:jc w:val="center"/>
        </w:trPr>
        <w:tc>
          <w:tcPr>
            <w:tcW w:w="5046" w:type="dxa"/>
            <w:vAlign w:val="center"/>
          </w:tcPr>
          <w:p w14:paraId="31AF5BCD">
            <w:pPr>
              <w:spacing w:after="0" w:line="240" w:lineRule="auto"/>
            </w:pPr>
            <w:r>
              <w:rPr>
                <w:sz w:val="18"/>
              </w:rPr>
              <w:t>IeltsAttempt</w:t>
            </w:r>
          </w:p>
        </w:tc>
        <w:tc>
          <w:tcPr>
            <w:tcW w:w="5046" w:type="dxa"/>
            <w:vAlign w:val="center"/>
          </w:tcPr>
          <w:p w14:paraId="35979141">
            <w:pPr>
              <w:spacing w:after="0" w:line="240" w:lineRule="auto"/>
            </w:pPr>
            <w:r>
              <w:rPr>
                <w:sz w:val="18"/>
              </w:rPr>
              <w:t>整场考试及其评分状态</w:t>
            </w:r>
          </w:p>
        </w:tc>
        <w:tc>
          <w:tcPr>
            <w:tcW w:w="5046" w:type="dxa"/>
            <w:vAlign w:val="center"/>
          </w:tcPr>
          <w:p w14:paraId="0886992F">
            <w:pPr>
              <w:spacing w:after="0" w:line="240" w:lineRule="auto"/>
            </w:pPr>
            <w:r>
              <w:rPr>
                <w:sz w:val="18"/>
              </w:rPr>
              <w:t>从创建到报告生成完成</w:t>
            </w:r>
          </w:p>
        </w:tc>
      </w:tr>
      <w:tr w14:paraId="5835669A">
        <w:trPr>
          <w:jc w:val="center"/>
        </w:trPr>
        <w:tc>
          <w:tcPr>
            <w:tcW w:w="5046" w:type="dxa"/>
            <w:vAlign w:val="center"/>
          </w:tcPr>
          <w:p w14:paraId="1C89122E">
            <w:pPr>
              <w:spacing w:after="0" w:line="240" w:lineRule="auto"/>
            </w:pPr>
            <w:r>
              <w:rPr>
                <w:sz w:val="18"/>
              </w:rPr>
              <w:t>IeltsTurn</w:t>
            </w:r>
          </w:p>
        </w:tc>
        <w:tc>
          <w:tcPr>
            <w:tcW w:w="5046" w:type="dxa"/>
            <w:vAlign w:val="center"/>
          </w:tcPr>
          <w:p w14:paraId="640A9E9B">
            <w:pPr>
              <w:spacing w:after="0" w:line="240" w:lineRule="auto"/>
            </w:pPr>
            <w:r>
              <w:rPr>
                <w:sz w:val="18"/>
              </w:rPr>
              <w:t>一道题对应的一轮回答</w:t>
            </w:r>
          </w:p>
        </w:tc>
        <w:tc>
          <w:tcPr>
            <w:tcW w:w="5046" w:type="dxa"/>
            <w:vAlign w:val="center"/>
          </w:tcPr>
          <w:p w14:paraId="0AEDE567">
            <w:pPr>
              <w:spacing w:after="0" w:line="240" w:lineRule="auto"/>
            </w:pPr>
            <w:r>
              <w:rPr>
                <w:sz w:val="18"/>
              </w:rPr>
              <w:t>从打开 Turn 到音频和转写冻结</w:t>
            </w:r>
          </w:p>
        </w:tc>
      </w:tr>
      <w:tr w14:paraId="628F7C8E">
        <w:trPr>
          <w:jc w:val="center"/>
        </w:trPr>
        <w:tc>
          <w:tcPr>
            <w:tcW w:w="5046" w:type="dxa"/>
            <w:vAlign w:val="center"/>
          </w:tcPr>
          <w:p w14:paraId="6390004E">
            <w:pPr>
              <w:spacing w:after="0" w:line="240" w:lineRule="auto"/>
            </w:pPr>
            <w:r>
              <w:rPr>
                <w:sz w:val="18"/>
              </w:rPr>
              <w:t>IeltsReport</w:t>
            </w:r>
          </w:p>
        </w:tc>
        <w:tc>
          <w:tcPr>
            <w:tcW w:w="5046" w:type="dxa"/>
            <w:vAlign w:val="center"/>
          </w:tcPr>
          <w:p w14:paraId="3EA9D897">
            <w:pPr>
              <w:spacing w:after="0" w:line="240" w:lineRule="auto"/>
            </w:pPr>
            <w:r>
              <w:rPr>
                <w:sz w:val="18"/>
              </w:rPr>
              <w:t>考后统一报告</w:t>
            </w:r>
          </w:p>
        </w:tc>
        <w:tc>
          <w:tcPr>
            <w:tcW w:w="5046" w:type="dxa"/>
            <w:vAlign w:val="center"/>
          </w:tcPr>
          <w:p w14:paraId="18E830B5">
            <w:pPr>
              <w:spacing w:after="0" w:line="240" w:lineRule="auto"/>
            </w:pPr>
            <w:r>
              <w:rPr>
                <w:sz w:val="18"/>
              </w:rPr>
              <w:t>异步评分完成后生成</w:t>
            </w:r>
          </w:p>
        </w:tc>
      </w:tr>
    </w:tbl>
    <w:p w14:paraId="67F0104B">
      <w:pPr>
        <w:spacing w:after="0"/>
      </w:pPr>
    </w:p>
    <w:p w14:paraId="5B5DB160">
      <w:pPr>
        <w:spacing w:after="80" w:line="276" w:lineRule="auto"/>
      </w:pPr>
      <w:r>
        <w:t>最容易混淆的区别：Session 偏实时连接；Attempt 偏整场考试数据；Turn 是 Attempt 中的一道题回答；ExamState 只描述流程位置，不承载完整评分证据。</w:t>
      </w:r>
    </w:p>
    <w:p w14:paraId="6AF32ABB">
      <w:r>
        <w:br w:type="page"/>
      </w:r>
    </w:p>
    <w:p w14:paraId="001DEFBF">
      <w:pPr>
        <w:pStyle w:val="3"/>
      </w:pPr>
      <w:r>
        <w:t>13. ID 绑定、存储与用量对账关系</w:t>
      </w:r>
    </w:p>
    <w:p w14:paraId="7BB8BE5B">
      <w:pPr>
        <w:spacing w:after="60"/>
        <w:jc w:val="center"/>
      </w:pPr>
      <w:r>
        <w:drawing>
          <wp:inline distT="0" distB="0" distL="114300" distR="114300">
            <wp:extent cx="8001000" cy="3887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38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42C6">
      <w:pPr>
        <w:spacing w:after="160"/>
        <w:jc w:val="center"/>
      </w:pPr>
      <w:r>
        <w:rPr>
          <w:i/>
          <w:color w:val="6B7280"/>
          <w:sz w:val="18"/>
        </w:rPr>
        <w:t>图 13  localSessionId、providerSessionId、attemptId、turnId 的绑定关系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1394B598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68EC6F9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38EC343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由谁生成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61ABE87F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主要用途</w:t>
            </w:r>
          </w:p>
        </w:tc>
      </w:tr>
      <w:tr w14:paraId="661FA5E6">
        <w:trPr>
          <w:jc w:val="center"/>
        </w:trPr>
        <w:tc>
          <w:tcPr>
            <w:tcW w:w="5046" w:type="dxa"/>
            <w:vAlign w:val="center"/>
          </w:tcPr>
          <w:p w14:paraId="7F543459">
            <w:pPr>
              <w:spacing w:after="0" w:line="240" w:lineRule="auto"/>
            </w:pPr>
            <w:r>
              <w:rPr>
                <w:sz w:val="18"/>
              </w:rPr>
              <w:t>userId</w:t>
            </w:r>
          </w:p>
        </w:tc>
        <w:tc>
          <w:tcPr>
            <w:tcW w:w="5046" w:type="dxa"/>
            <w:vAlign w:val="center"/>
          </w:tcPr>
          <w:p w14:paraId="1894E66D">
            <w:pPr>
              <w:spacing w:after="0" w:line="240" w:lineRule="auto"/>
            </w:pPr>
            <w:r>
              <w:rPr>
                <w:sz w:val="18"/>
              </w:rPr>
              <w:t>身份系统</w:t>
            </w:r>
          </w:p>
        </w:tc>
        <w:tc>
          <w:tcPr>
            <w:tcW w:w="5046" w:type="dxa"/>
            <w:vAlign w:val="center"/>
          </w:tcPr>
          <w:p w14:paraId="5A9AA6E1">
            <w:pPr>
              <w:spacing w:after="0" w:line="240" w:lineRule="auto"/>
            </w:pPr>
            <w:r>
              <w:rPr>
                <w:sz w:val="18"/>
              </w:rPr>
              <w:t>归属用户、权限、历史和额度</w:t>
            </w:r>
          </w:p>
        </w:tc>
      </w:tr>
      <w:tr w14:paraId="27AAE083">
        <w:trPr>
          <w:jc w:val="center"/>
        </w:trPr>
        <w:tc>
          <w:tcPr>
            <w:tcW w:w="5046" w:type="dxa"/>
            <w:vAlign w:val="center"/>
          </w:tcPr>
          <w:p w14:paraId="28DED044">
            <w:pPr>
              <w:spacing w:after="0" w:line="240" w:lineRule="auto"/>
            </w:pPr>
            <w:r>
              <w:rPr>
                <w:sz w:val="18"/>
              </w:rPr>
              <w:t>localSessionId</w:t>
            </w:r>
          </w:p>
        </w:tc>
        <w:tc>
          <w:tcPr>
            <w:tcW w:w="5046" w:type="dxa"/>
            <w:vAlign w:val="center"/>
          </w:tcPr>
          <w:p w14:paraId="74657929">
            <w:pPr>
              <w:spacing w:after="0" w:line="240" w:lineRule="auto"/>
            </w:pPr>
            <w:r>
              <w:rPr>
                <w:sz w:val="18"/>
              </w:rPr>
              <w:t>SessionIdGenerator</w:t>
            </w:r>
          </w:p>
        </w:tc>
        <w:tc>
          <w:tcPr>
            <w:tcW w:w="5046" w:type="dxa"/>
            <w:vAlign w:val="center"/>
          </w:tcPr>
          <w:p w14:paraId="0E6A331E">
            <w:pPr>
              <w:spacing w:after="0" w:line="240" w:lineRule="auto"/>
            </w:pPr>
            <w:r>
              <w:rPr>
                <w:sz w:val="18"/>
              </w:rPr>
              <w:t>跨 HTTP、WebSocket 和超时任务查找实时会话</w:t>
            </w:r>
          </w:p>
        </w:tc>
      </w:tr>
      <w:tr w14:paraId="1260037E">
        <w:trPr>
          <w:jc w:val="center"/>
        </w:trPr>
        <w:tc>
          <w:tcPr>
            <w:tcW w:w="5046" w:type="dxa"/>
            <w:vAlign w:val="center"/>
          </w:tcPr>
          <w:p w14:paraId="242AB67B">
            <w:pPr>
              <w:spacing w:after="0" w:line="240" w:lineRule="auto"/>
            </w:pPr>
            <w:r>
              <w:rPr>
                <w:sz w:val="18"/>
              </w:rPr>
              <w:t>providerSessionId</w:t>
            </w:r>
          </w:p>
        </w:tc>
        <w:tc>
          <w:tcPr>
            <w:tcW w:w="5046" w:type="dxa"/>
            <w:vAlign w:val="center"/>
          </w:tcPr>
          <w:p w14:paraId="351AB411">
            <w:pPr>
              <w:spacing w:after="0" w:line="240" w:lineRule="auto"/>
            </w:pPr>
            <w:r>
              <w:rPr>
                <w:sz w:val="18"/>
              </w:rPr>
              <w:t>Qwen Realtime</w:t>
            </w:r>
          </w:p>
        </w:tc>
        <w:tc>
          <w:tcPr>
            <w:tcW w:w="5046" w:type="dxa"/>
            <w:vAlign w:val="center"/>
          </w:tcPr>
          <w:p w14:paraId="4F8DEF15">
            <w:pPr>
              <w:spacing w:after="0" w:line="240" w:lineRule="auto"/>
            </w:pPr>
            <w:r>
              <w:rPr>
                <w:sz w:val="18"/>
              </w:rPr>
              <w:t>定位外部模型会话和异常</w:t>
            </w:r>
          </w:p>
        </w:tc>
      </w:tr>
      <w:tr w14:paraId="0A1F4C5D">
        <w:trPr>
          <w:jc w:val="center"/>
        </w:trPr>
        <w:tc>
          <w:tcPr>
            <w:tcW w:w="5046" w:type="dxa"/>
            <w:vAlign w:val="center"/>
          </w:tcPr>
          <w:p w14:paraId="5A0DE615">
            <w:pPr>
              <w:spacing w:after="0" w:line="240" w:lineRule="auto"/>
            </w:pPr>
            <w:r>
              <w:rPr>
                <w:sz w:val="18"/>
              </w:rPr>
              <w:t>attemptId</w:t>
            </w:r>
          </w:p>
        </w:tc>
        <w:tc>
          <w:tcPr>
            <w:tcW w:w="5046" w:type="dxa"/>
            <w:vAlign w:val="center"/>
          </w:tcPr>
          <w:p w14:paraId="68D0BA28">
            <w:pPr>
              <w:spacing w:after="0" w:line="240" w:lineRule="auto"/>
            </w:pPr>
            <w:r>
              <w:rPr>
                <w:sz w:val="18"/>
              </w:rPr>
              <w:t>IeltsAttemptService / Controller</w:t>
            </w:r>
          </w:p>
        </w:tc>
        <w:tc>
          <w:tcPr>
            <w:tcW w:w="5046" w:type="dxa"/>
            <w:vAlign w:val="center"/>
          </w:tcPr>
          <w:p w14:paraId="7E7B643A">
            <w:pPr>
              <w:spacing w:after="0" w:line="240" w:lineRule="auto"/>
            </w:pPr>
            <w:r>
              <w:rPr>
                <w:sz w:val="18"/>
              </w:rPr>
              <w:t>整场考试、评分任务和报告主键</w:t>
            </w:r>
          </w:p>
        </w:tc>
      </w:tr>
      <w:tr w14:paraId="32B36CB6">
        <w:trPr>
          <w:jc w:val="center"/>
        </w:trPr>
        <w:tc>
          <w:tcPr>
            <w:tcW w:w="5046" w:type="dxa"/>
            <w:vAlign w:val="center"/>
          </w:tcPr>
          <w:p w14:paraId="421D9157">
            <w:pPr>
              <w:spacing w:after="0" w:line="240" w:lineRule="auto"/>
            </w:pPr>
            <w:r>
              <w:rPr>
                <w:sz w:val="18"/>
              </w:rPr>
              <w:t>paperId</w:t>
            </w:r>
          </w:p>
        </w:tc>
        <w:tc>
          <w:tcPr>
            <w:tcW w:w="5046" w:type="dxa"/>
            <w:vAlign w:val="center"/>
          </w:tcPr>
          <w:p w14:paraId="4DF586E9">
            <w:pPr>
              <w:spacing w:after="0" w:line="240" w:lineRule="auto"/>
            </w:pPr>
            <w:r>
              <w:rPr>
                <w:sz w:val="18"/>
              </w:rPr>
              <w:t>PaperAssembler</w:t>
            </w:r>
          </w:p>
        </w:tc>
        <w:tc>
          <w:tcPr>
            <w:tcW w:w="5046" w:type="dxa"/>
            <w:vAlign w:val="center"/>
          </w:tcPr>
          <w:p w14:paraId="50469CF6">
            <w:pPr>
              <w:spacing w:after="0" w:line="240" w:lineRule="auto"/>
            </w:pPr>
            <w:r>
              <w:rPr>
                <w:sz w:val="18"/>
              </w:rPr>
              <w:t>标识冻结试卷</w:t>
            </w:r>
          </w:p>
        </w:tc>
      </w:tr>
      <w:tr w14:paraId="79474850">
        <w:trPr>
          <w:jc w:val="center"/>
        </w:trPr>
        <w:tc>
          <w:tcPr>
            <w:tcW w:w="5046" w:type="dxa"/>
            <w:vAlign w:val="center"/>
          </w:tcPr>
          <w:p w14:paraId="2B5A1901">
            <w:pPr>
              <w:spacing w:after="0" w:line="240" w:lineRule="auto"/>
            </w:pPr>
            <w:r>
              <w:rPr>
                <w:sz w:val="18"/>
              </w:rPr>
              <w:t>turnId</w:t>
            </w:r>
          </w:p>
        </w:tc>
        <w:tc>
          <w:tcPr>
            <w:tcW w:w="5046" w:type="dxa"/>
            <w:vAlign w:val="center"/>
          </w:tcPr>
          <w:p w14:paraId="0307C930">
            <w:pPr>
              <w:spacing w:after="0" w:line="240" w:lineRule="auto"/>
            </w:pPr>
            <w:r>
              <w:rPr>
                <w:sz w:val="18"/>
              </w:rPr>
              <w:t>前端 Runtime / TurnService</w:t>
            </w:r>
          </w:p>
        </w:tc>
        <w:tc>
          <w:tcPr>
            <w:tcW w:w="5046" w:type="dxa"/>
            <w:vAlign w:val="center"/>
          </w:tcPr>
          <w:p w14:paraId="7E6F5485">
            <w:pPr>
              <w:spacing w:after="0" w:line="240" w:lineRule="auto"/>
            </w:pPr>
            <w:r>
              <w:rPr>
                <w:sz w:val="18"/>
              </w:rPr>
              <w:t>关联题目、转写、PCM 和 VAD Chunk</w:t>
            </w:r>
          </w:p>
        </w:tc>
      </w:tr>
      <w:tr w14:paraId="364889F9">
        <w:trPr>
          <w:jc w:val="center"/>
        </w:trPr>
        <w:tc>
          <w:tcPr>
            <w:tcW w:w="5046" w:type="dxa"/>
            <w:vAlign w:val="center"/>
          </w:tcPr>
          <w:p w14:paraId="6B9DC305">
            <w:pPr>
              <w:spacing w:after="0" w:line="240" w:lineRule="auto"/>
            </w:pPr>
            <w:r>
              <w:rPr>
                <w:sz w:val="18"/>
              </w:rPr>
              <w:t>requestId / usageId</w:t>
            </w:r>
          </w:p>
        </w:tc>
        <w:tc>
          <w:tcPr>
            <w:tcW w:w="5046" w:type="dxa"/>
            <w:vAlign w:val="center"/>
          </w:tcPr>
          <w:p w14:paraId="54474122">
            <w:pPr>
              <w:spacing w:after="0" w:line="240" w:lineRule="auto"/>
            </w:pPr>
            <w:r>
              <w:rPr>
                <w:sz w:val="18"/>
              </w:rPr>
              <w:t>模型 Provider</w:t>
            </w:r>
          </w:p>
        </w:tc>
        <w:tc>
          <w:tcPr>
            <w:tcW w:w="5046" w:type="dxa"/>
            <w:vAlign w:val="center"/>
          </w:tcPr>
          <w:p w14:paraId="01091B83">
            <w:pPr>
              <w:spacing w:after="0" w:line="240" w:lineRule="auto"/>
            </w:pPr>
            <w:r>
              <w:rPr>
                <w:sz w:val="18"/>
              </w:rPr>
              <w:t>正式产品的账单和用量对账，当前框架建议保留</w:t>
            </w:r>
          </w:p>
        </w:tc>
      </w:tr>
    </w:tbl>
    <w:p w14:paraId="7E6B922E">
      <w:pPr>
        <w:spacing w:after="0"/>
      </w:pPr>
    </w:p>
    <w:p w14:paraId="14C3B021">
      <w:r>
        <w:br w:type="page"/>
      </w:r>
    </w:p>
    <w:p w14:paraId="49EA4AFB">
      <w:pPr>
        <w:pStyle w:val="3"/>
      </w:pPr>
      <w:r>
        <w:t>14. 与自由聊天模块的复用和替换关系</w:t>
      </w:r>
    </w:p>
    <w:p w14:paraId="06A12446">
      <w:pPr>
        <w:spacing w:after="60"/>
        <w:jc w:val="center"/>
      </w:pPr>
      <w:r>
        <w:drawing>
          <wp:inline distT="0" distB="0" distL="114300" distR="114300">
            <wp:extent cx="8595360" cy="955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9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C32">
      <w:pPr>
        <w:spacing w:after="160"/>
        <w:jc w:val="center"/>
      </w:pPr>
      <w:r>
        <w:rPr>
          <w:i/>
          <w:color w:val="6B7280"/>
          <w:sz w:val="18"/>
        </w:rPr>
        <w:t>图 14  公共会话框架复用、扩展与雅思新增模块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  <w:gridCol w:w="5046"/>
      </w:tblGrid>
      <w:tr w14:paraId="14D3899C">
        <w:trPr>
          <w:tblHeader/>
          <w:jc w:val="center"/>
        </w:trPr>
        <w:tc>
          <w:tcPr>
            <w:tcW w:w="5046" w:type="dxa"/>
            <w:shd w:val="clear" w:color="auto" w:fill="E8EEF7"/>
            <w:vAlign w:val="center"/>
          </w:tcPr>
          <w:p w14:paraId="224386C1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自由聊天框架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0D9A238F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雅思处理方式</w:t>
            </w:r>
          </w:p>
        </w:tc>
        <w:tc>
          <w:tcPr>
            <w:tcW w:w="5046" w:type="dxa"/>
            <w:shd w:val="clear" w:color="auto" w:fill="E8EEF7"/>
            <w:vAlign w:val="center"/>
          </w:tcPr>
          <w:p w14:paraId="7E436CA7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0EEC7BEC">
        <w:trPr>
          <w:jc w:val="center"/>
        </w:trPr>
        <w:tc>
          <w:tcPr>
            <w:tcW w:w="5046" w:type="dxa"/>
            <w:vAlign w:val="center"/>
          </w:tcPr>
          <w:p w14:paraId="43AFB980">
            <w:pPr>
              <w:spacing w:after="0" w:line="240" w:lineRule="auto"/>
            </w:pPr>
            <w:r>
              <w:rPr>
                <w:sz w:val="18"/>
              </w:rPr>
              <w:t>SessionService</w:t>
            </w:r>
          </w:p>
        </w:tc>
        <w:tc>
          <w:tcPr>
            <w:tcW w:w="5046" w:type="dxa"/>
            <w:vAlign w:val="center"/>
          </w:tcPr>
          <w:p w14:paraId="52648B6A">
            <w:pPr>
              <w:spacing w:after="0" w:line="240" w:lineRule="auto"/>
            </w:pPr>
            <w:r>
              <w:rPr>
                <w:sz w:val="18"/>
              </w:rPr>
              <w:t>复用并增加 handleSceneEvent 扩展点</w:t>
            </w:r>
          </w:p>
        </w:tc>
        <w:tc>
          <w:tcPr>
            <w:tcW w:w="5046" w:type="dxa"/>
            <w:vAlign w:val="center"/>
          </w:tcPr>
          <w:p w14:paraId="22BD1FF9">
            <w:pPr>
              <w:spacing w:after="0" w:line="240" w:lineRule="auto"/>
            </w:pPr>
            <w:r>
              <w:rPr>
                <w:sz w:val="18"/>
              </w:rPr>
              <w:t>公共启动和错误处理不重复实现</w:t>
            </w:r>
          </w:p>
        </w:tc>
      </w:tr>
      <w:tr w14:paraId="0B5EB35D">
        <w:trPr>
          <w:jc w:val="center"/>
        </w:trPr>
        <w:tc>
          <w:tcPr>
            <w:tcW w:w="5046" w:type="dxa"/>
            <w:vAlign w:val="center"/>
          </w:tcPr>
          <w:p w14:paraId="4C907D22">
            <w:pPr>
              <w:spacing w:after="0" w:line="240" w:lineRule="auto"/>
            </w:pPr>
            <w:r>
              <w:rPr>
                <w:sz w:val="18"/>
              </w:rPr>
              <w:t>SessionWebSocketHandler</w:t>
            </w:r>
          </w:p>
        </w:tc>
        <w:tc>
          <w:tcPr>
            <w:tcW w:w="5046" w:type="dxa"/>
            <w:vAlign w:val="center"/>
          </w:tcPr>
          <w:p w14:paraId="42CEF181">
            <w:pPr>
              <w:spacing w:after="0" w:line="240" w:lineRule="auto"/>
            </w:pPr>
            <w:r>
              <w:rPr>
                <w:sz w:val="18"/>
              </w:rPr>
              <w:t>复用并增加考试事件</w:t>
            </w:r>
          </w:p>
        </w:tc>
        <w:tc>
          <w:tcPr>
            <w:tcW w:w="5046" w:type="dxa"/>
            <w:vAlign w:val="center"/>
          </w:tcPr>
          <w:p w14:paraId="42CF7074">
            <w:pPr>
              <w:spacing w:after="0" w:line="240" w:lineRule="auto"/>
            </w:pPr>
            <w:r>
              <w:rPr>
                <w:sz w:val="18"/>
              </w:rPr>
              <w:t>公共模型事件继续保留</w:t>
            </w:r>
          </w:p>
        </w:tc>
      </w:tr>
      <w:tr w14:paraId="3DC4566D">
        <w:trPr>
          <w:jc w:val="center"/>
        </w:trPr>
        <w:tc>
          <w:tcPr>
            <w:tcW w:w="5046" w:type="dxa"/>
            <w:vAlign w:val="center"/>
          </w:tcPr>
          <w:p w14:paraId="014B63C6">
            <w:pPr>
              <w:spacing w:after="0" w:line="240" w:lineRule="auto"/>
            </w:pPr>
            <w:r>
              <w:rPr>
                <w:sz w:val="18"/>
              </w:rPr>
              <w:t>RealtimeConnectionService</w:t>
            </w:r>
          </w:p>
        </w:tc>
        <w:tc>
          <w:tcPr>
            <w:tcW w:w="5046" w:type="dxa"/>
            <w:vAlign w:val="center"/>
          </w:tcPr>
          <w:p w14:paraId="5C6CDE12">
            <w:pPr>
              <w:spacing w:after="0" w:line="240" w:lineRule="auto"/>
            </w:pPr>
            <w:r>
              <w:rPr>
                <w:sz w:val="18"/>
              </w:rPr>
              <w:t>直接复用</w:t>
            </w:r>
          </w:p>
        </w:tc>
        <w:tc>
          <w:tcPr>
            <w:tcW w:w="5046" w:type="dxa"/>
            <w:vAlign w:val="center"/>
          </w:tcPr>
          <w:p w14:paraId="0AA11220">
            <w:pPr>
              <w:spacing w:after="0" w:line="240" w:lineRule="auto"/>
            </w:pPr>
            <w:r>
              <w:rPr>
                <w:sz w:val="18"/>
              </w:rPr>
              <w:t>仍负责 SDP 与密钥隔离</w:t>
            </w:r>
          </w:p>
        </w:tc>
      </w:tr>
      <w:tr w14:paraId="11800CF6">
        <w:trPr>
          <w:jc w:val="center"/>
        </w:trPr>
        <w:tc>
          <w:tcPr>
            <w:tcW w:w="5046" w:type="dxa"/>
            <w:vAlign w:val="center"/>
          </w:tcPr>
          <w:p w14:paraId="2D25C3D2">
            <w:pPr>
              <w:spacing w:after="0" w:line="240" w:lineRule="auto"/>
            </w:pPr>
            <w:r>
              <w:rPr>
                <w:sz w:val="18"/>
              </w:rPr>
              <w:t>SessionStateStore</w:t>
            </w:r>
          </w:p>
        </w:tc>
        <w:tc>
          <w:tcPr>
            <w:tcW w:w="5046" w:type="dxa"/>
            <w:vAlign w:val="center"/>
          </w:tcPr>
          <w:p w14:paraId="3C027782">
            <w:pPr>
              <w:spacing w:after="0" w:line="240" w:lineRule="auto"/>
            </w:pPr>
            <w:r>
              <w:rPr>
                <w:sz w:val="18"/>
              </w:rPr>
              <w:t>直接复用</w:t>
            </w:r>
          </w:p>
        </w:tc>
        <w:tc>
          <w:tcPr>
            <w:tcW w:w="5046" w:type="dxa"/>
            <w:vAlign w:val="center"/>
          </w:tcPr>
          <w:p w14:paraId="45104BEB">
            <w:pPr>
              <w:spacing w:after="0" w:line="240" w:lineRule="auto"/>
            </w:pPr>
            <w:r>
              <w:rPr>
                <w:sz w:val="18"/>
              </w:rPr>
              <w:t>按 localSessionId 保存会话</w:t>
            </w:r>
          </w:p>
        </w:tc>
      </w:tr>
      <w:tr w14:paraId="3A71EF0F">
        <w:trPr>
          <w:jc w:val="center"/>
        </w:trPr>
        <w:tc>
          <w:tcPr>
            <w:tcW w:w="5046" w:type="dxa"/>
            <w:vAlign w:val="center"/>
          </w:tcPr>
          <w:p w14:paraId="63709255">
            <w:pPr>
              <w:spacing w:after="0" w:line="240" w:lineRule="auto"/>
            </w:pPr>
            <w:r>
              <w:rPr>
                <w:sz w:val="18"/>
              </w:rPr>
              <w:t>FreeChatSessionService</w:t>
            </w:r>
          </w:p>
        </w:tc>
        <w:tc>
          <w:tcPr>
            <w:tcW w:w="5046" w:type="dxa"/>
            <w:vAlign w:val="center"/>
          </w:tcPr>
          <w:p w14:paraId="5231CDB4">
            <w:pPr>
              <w:spacing w:after="0" w:line="240" w:lineRule="auto"/>
            </w:pPr>
            <w:r>
              <w:rPr>
                <w:sz w:val="18"/>
              </w:rPr>
              <w:t>替换为 IeltsMockSessionService</w:t>
            </w:r>
          </w:p>
        </w:tc>
        <w:tc>
          <w:tcPr>
            <w:tcW w:w="5046" w:type="dxa"/>
            <w:vAlign w:val="center"/>
          </w:tcPr>
          <w:p w14:paraId="3A5D5DD2">
            <w:pPr>
              <w:spacing w:after="0" w:line="240" w:lineRule="auto"/>
            </w:pPr>
            <w:r>
              <w:rPr>
                <w:sz w:val="18"/>
              </w:rPr>
              <w:t>增加组卷、状态机、Turn、评分</w:t>
            </w:r>
          </w:p>
        </w:tc>
      </w:tr>
      <w:tr w14:paraId="0D284AE4">
        <w:trPr>
          <w:jc w:val="center"/>
        </w:trPr>
        <w:tc>
          <w:tcPr>
            <w:tcW w:w="5046" w:type="dxa"/>
            <w:vAlign w:val="center"/>
          </w:tcPr>
          <w:p w14:paraId="7A991CB4">
            <w:pPr>
              <w:spacing w:after="0" w:line="240" w:lineRule="auto"/>
            </w:pPr>
            <w:r>
              <w:rPr>
                <w:sz w:val="18"/>
              </w:rPr>
              <w:t>FreeChatConversationService</w:t>
            </w:r>
          </w:p>
        </w:tc>
        <w:tc>
          <w:tcPr>
            <w:tcW w:w="5046" w:type="dxa"/>
            <w:vAlign w:val="center"/>
          </w:tcPr>
          <w:p w14:paraId="1192F3E9">
            <w:pPr>
              <w:spacing w:after="0" w:line="240" w:lineRule="auto"/>
            </w:pPr>
            <w:r>
              <w:rPr>
                <w:sz w:val="18"/>
              </w:rPr>
              <w:t>替换为 AttemptService + TurnService</w:t>
            </w:r>
          </w:p>
        </w:tc>
        <w:tc>
          <w:tcPr>
            <w:tcW w:w="5046" w:type="dxa"/>
            <w:vAlign w:val="center"/>
          </w:tcPr>
          <w:p w14:paraId="2F1C9FA1">
            <w:pPr>
              <w:spacing w:after="0" w:line="240" w:lineRule="auto"/>
            </w:pPr>
            <w:r>
              <w:rPr>
                <w:sz w:val="18"/>
              </w:rPr>
              <w:t>从消息记录升级为考试证据</w:t>
            </w:r>
          </w:p>
        </w:tc>
      </w:tr>
      <w:tr w14:paraId="174732DF">
        <w:trPr>
          <w:jc w:val="center"/>
        </w:trPr>
        <w:tc>
          <w:tcPr>
            <w:tcW w:w="5046" w:type="dxa"/>
            <w:vAlign w:val="center"/>
          </w:tcPr>
          <w:p w14:paraId="18DAE11A">
            <w:pPr>
              <w:spacing w:after="0" w:line="240" w:lineRule="auto"/>
            </w:pPr>
            <w:r>
              <w:rPr>
                <w:sz w:val="18"/>
              </w:rPr>
              <w:t>FreeChatPromptService</w:t>
            </w:r>
          </w:p>
        </w:tc>
        <w:tc>
          <w:tcPr>
            <w:tcW w:w="5046" w:type="dxa"/>
            <w:vAlign w:val="center"/>
          </w:tcPr>
          <w:p w14:paraId="6B04AFCC">
            <w:pPr>
              <w:spacing w:after="0" w:line="240" w:lineRule="auto"/>
            </w:pPr>
            <w:r>
              <w:rPr>
                <w:sz w:val="18"/>
              </w:rPr>
              <w:t>替换为 ExaminerPromptService</w:t>
            </w:r>
          </w:p>
        </w:tc>
        <w:tc>
          <w:tcPr>
            <w:tcW w:w="5046" w:type="dxa"/>
            <w:vAlign w:val="center"/>
          </w:tcPr>
          <w:p w14:paraId="7CFB0FDD">
            <w:pPr>
              <w:spacing w:after="0" w:line="240" w:lineRule="auto"/>
            </w:pPr>
            <w:r>
              <w:rPr>
                <w:sz w:val="18"/>
              </w:rPr>
              <w:t>模型只能播报固定指令和题目</w:t>
            </w:r>
          </w:p>
        </w:tc>
      </w:tr>
      <w:tr w14:paraId="653D0E51">
        <w:trPr>
          <w:jc w:val="center"/>
        </w:trPr>
        <w:tc>
          <w:tcPr>
            <w:tcW w:w="5046" w:type="dxa"/>
            <w:vAlign w:val="center"/>
          </w:tcPr>
          <w:p w14:paraId="31B30BEA">
            <w:pPr>
              <w:spacing w:after="0" w:line="240" w:lineRule="auto"/>
            </w:pPr>
            <w:r>
              <w:rPr>
                <w:sz w:val="18"/>
              </w:rPr>
              <w:t>SessionMemoryService</w:t>
            </w:r>
          </w:p>
        </w:tc>
        <w:tc>
          <w:tcPr>
            <w:tcW w:w="5046" w:type="dxa"/>
            <w:vAlign w:val="center"/>
          </w:tcPr>
          <w:p w14:paraId="5E7CA56A">
            <w:pPr>
              <w:spacing w:after="0" w:line="240" w:lineRule="auto"/>
            </w:pPr>
            <w:r>
              <w:rPr>
                <w:sz w:val="18"/>
              </w:rPr>
              <w:t>替换为 LearningRecordService【规划】</w:t>
            </w:r>
          </w:p>
        </w:tc>
        <w:tc>
          <w:tcPr>
            <w:tcW w:w="5046" w:type="dxa"/>
            <w:vAlign w:val="center"/>
          </w:tcPr>
          <w:p w14:paraId="2C217186">
            <w:pPr>
              <w:spacing w:after="0" w:line="240" w:lineRule="auto"/>
            </w:pPr>
            <w:r>
              <w:rPr>
                <w:sz w:val="18"/>
              </w:rPr>
              <w:t>保存成绩和能力变化，而不是普通聊天摘要</w:t>
            </w:r>
          </w:p>
        </w:tc>
      </w:tr>
    </w:tbl>
    <w:p w14:paraId="38D2B4CF">
      <w:pPr>
        <w:spacing w:after="0"/>
      </w:pPr>
    </w:p>
    <w:p w14:paraId="35F6B587">
      <w:r>
        <w:br w:type="page"/>
      </w:r>
    </w:p>
    <w:p w14:paraId="6FB92B4C">
      <w:pPr>
        <w:pStyle w:val="3"/>
      </w:pPr>
      <w:r>
        <w:t>15. 顶层端到端调用骨架</w:t>
      </w:r>
    </w:p>
    <w:p w14:paraId="2FC1B009">
      <w:pPr>
        <w:spacing w:after="80" w:line="276" w:lineRule="auto"/>
      </w:pPr>
      <w:r>
        <w:t>下列骨架适合继续展开成正式伪代码或接口文档：</w:t>
      </w:r>
    </w:p>
    <w:p w14:paraId="6ABBDFC4">
      <w:pPr>
        <w:spacing w:after="0"/>
        <w:ind w:left="283"/>
      </w:pPr>
      <w:r>
        <w:rPr>
          <w:rFonts w:ascii="DejaVu Sans Mono" w:hAnsi="DejaVu Sans Mono" w:eastAsia="Noto Sans CJK SC"/>
          <w:b/>
          <w:color w:val="B45309"/>
          <w:sz w:val="18"/>
        </w:rPr>
        <w:t>FUNCTION startIeltsMock(command):</w:t>
      </w:r>
    </w:p>
    <w:p w14:paraId="4238C099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user, profile = AuthService.currentUser(), ProfileService.get(userId)</w:t>
      </w:r>
    </w:p>
    <w:p w14:paraId="0CA8949C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SceneService.validateAccess(userId, IELTS_MOCK)</w:t>
      </w:r>
    </w:p>
    <w:p w14:paraId="7F79839F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UsageQuotaService.validateAndReserve(userId, IELTS_MOCK)</w:t>
      </w:r>
    </w:p>
    <w:p w14:paraId="48968D52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paper = PaperAssembler.assembleAndFreeze(QuestionBank.load(), command)</w:t>
      </w:r>
    </w:p>
    <w:p w14:paraId="3CB88C99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session = IeltsMockSceneSession.create(localSessionId, userId)</w:t>
      </w:r>
    </w:p>
    <w:p w14:paraId="6246F1A2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attempt = AttemptService.create(session.id, paper, command.mode)</w:t>
      </w:r>
    </w:p>
    <w:p w14:paraId="5F59ADE9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session.bind(attempt, paper, ExamFlow.createState(paper), ExaminerPrompt.build(paper))</w:t>
      </w:r>
    </w:p>
    <w:p w14:paraId="4BEC1FDA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SessionStateStore.save(session)</w:t>
      </w:r>
    </w:p>
    <w:p w14:paraId="78A4E30E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answerSdp = RealtimeConnectionService.exchange(command.offerSdp, session.prompt)</w:t>
      </w:r>
    </w:p>
    <w:p w14:paraId="4DF34F32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RETURN StartResult(session.id, attempt.id, answerSdp, scoringWsUrl)</w:t>
      </w:r>
    </w:p>
    <w:p w14:paraId="3B0F73E7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</w:t>
      </w:r>
    </w:p>
    <w:p w14:paraId="156BCC34">
      <w:pPr>
        <w:spacing w:after="0"/>
        <w:ind w:left="283"/>
      </w:pPr>
      <w:r>
        <w:rPr>
          <w:rFonts w:ascii="DejaVu Sans Mono" w:hAnsi="DejaVu Sans Mono" w:eastAsia="Noto Sans CJK SC"/>
          <w:b/>
          <w:color w:val="B45309"/>
          <w:sz w:val="18"/>
        </w:rPr>
        <w:t>FUNCTION handleExamEvent(localSessionId, event):</w:t>
      </w:r>
    </w:p>
    <w:p w14:paraId="58D0B713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session = SessionStateStore.get(localSessionId)</w:t>
      </w:r>
    </w:p>
    <w:p w14:paraId="0AF88704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SessionService.handlePublicEventOrDelegate(session, event)</w:t>
      </w:r>
    </w:p>
    <w:p w14:paraId="28074C2A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session.examState = ExamFlow.transition(session.examState, event)</w:t>
      </w:r>
    </w:p>
    <w:p w14:paraId="08612B91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SessionStateStore.save(session)</w:t>
      </w:r>
    </w:p>
    <w:p w14:paraId="3F08FDDF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</w:t>
      </w:r>
    </w:p>
    <w:p w14:paraId="084A273C">
      <w:pPr>
        <w:spacing w:after="0"/>
        <w:ind w:left="283"/>
      </w:pPr>
      <w:r>
        <w:rPr>
          <w:rFonts w:ascii="DejaVu Sans Mono" w:hAnsi="DejaVu Sans Mono" w:eastAsia="Noto Sans CJK SC"/>
          <w:b/>
          <w:color w:val="B45309"/>
          <w:sz w:val="18"/>
        </w:rPr>
        <w:t>FUNCTION finalizeIeltsAttempt(attemptId):</w:t>
      </w:r>
    </w:p>
    <w:p w14:paraId="603F5170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TurnAssembler.finishStream(attemptId)</w:t>
      </w:r>
    </w:p>
    <w:p w14:paraId="479AC1C5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AttemptService.markFinalizing(attemptId)</w:t>
      </w:r>
    </w:p>
    <w:p w14:paraId="46453C91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ASYNC ScoringOrchestrator.scoreAsync(attemptId)</w:t>
      </w:r>
    </w:p>
    <w:p w14:paraId="14DED81F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    RETURN FINALIZING</w:t>
      </w:r>
    </w:p>
    <w:p w14:paraId="6DB9D180">
      <w:pPr>
        <w:spacing w:after="80" w:line="276" w:lineRule="auto"/>
      </w:pPr>
      <w:r>
        <w:t>接口拆分建议：公共会话能力继续放在 SessionService；雅思具体编排集中在 IeltsMockSessionService；规则放入 ExamFlow、PaperAssembler 和 BandCalculator；第三方调用通过 Provider Adapter 隔离。</w:t>
      </w:r>
    </w:p>
    <w:p w14:paraId="0693FE02">
      <w:r>
        <w:br w:type="page"/>
      </w:r>
    </w:p>
    <w:p w14:paraId="1CE8F1A4">
      <w:pPr>
        <w:pStyle w:val="3"/>
      </w:pPr>
      <w:r>
        <w:t>16. 建议的开发与伪代码编写顺序</w:t>
      </w:r>
    </w:p>
    <w:p w14:paraId="68A2CA0F">
      <w:pPr>
        <w:pStyle w:val="14"/>
        <w:spacing w:after="40"/>
      </w:pPr>
      <w:r>
        <w:t>先定义核心对象：PaperSnapshot、ExamState、Attempt、Turn、Report。</w:t>
      </w:r>
    </w:p>
    <w:p w14:paraId="18540E82">
      <w:pPr>
        <w:pStyle w:val="14"/>
        <w:spacing w:after="40"/>
      </w:pPr>
      <w:r>
        <w:t>实现 QuestionBank 校验和 PaperAssembler，保证题目关系正确。</w:t>
      </w:r>
    </w:p>
    <w:p w14:paraId="226722C4">
      <w:pPr>
        <w:pStyle w:val="14"/>
        <w:spacing w:after="40"/>
      </w:pPr>
      <w:r>
        <w:t>实现 ExamFlow 状态机及完整事件表，先不接模型。</w:t>
      </w:r>
    </w:p>
    <w:p w14:paraId="442308E9">
      <w:pPr>
        <w:pStyle w:val="14"/>
        <w:spacing w:after="40"/>
      </w:pPr>
      <w:r>
        <w:t>在公共 SessionService 上增加雅思场景扩展点，并完成 StartResult。</w:t>
      </w:r>
    </w:p>
    <w:p w14:paraId="1E8244D6">
      <w:pPr>
        <w:pStyle w:val="14"/>
        <w:spacing w:after="40"/>
      </w:pPr>
      <w:r>
        <w:t>接入 Qwen Realtime，验证固定考官播报、ASR 和 VAD。</w:t>
      </w:r>
    </w:p>
    <w:p w14:paraId="4C9C36C5">
      <w:pPr>
        <w:pStyle w:val="14"/>
        <w:spacing w:after="40"/>
      </w:pPr>
      <w:r>
        <w:t>接入评分 WebSocket 与 TurnAssembler，验证同一麦克风双路和 Part 2 Long Turn。</w:t>
      </w:r>
    </w:p>
    <w:p w14:paraId="1B96B0EB">
      <w:pPr>
        <w:pStyle w:val="14"/>
        <w:spacing w:after="40"/>
      </w:pPr>
      <w:r>
        <w:t>实现 finalize、异步 ScoringOrchestrator、报告轮询和降级状态。</w:t>
      </w:r>
    </w:p>
    <w:p w14:paraId="495CDD41">
      <w:pPr>
        <w:pStyle w:val="14"/>
        <w:spacing w:after="40"/>
      </w:pPr>
      <w:r>
        <w:t>最后补充数据库、对象存储、队列、用量对账和生产监控。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9"/>
        <w:gridCol w:w="7569"/>
      </w:tblGrid>
      <w:tr w14:paraId="616E2F44">
        <w:trPr>
          <w:tblHeader/>
          <w:jc w:val="center"/>
        </w:trPr>
        <w:tc>
          <w:tcPr>
            <w:tcW w:w="7569" w:type="dxa"/>
            <w:shd w:val="clear" w:color="auto" w:fill="E8EEF7"/>
            <w:vAlign w:val="center"/>
          </w:tcPr>
          <w:p w14:paraId="5595375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7569" w:type="dxa"/>
            <w:shd w:val="clear" w:color="auto" w:fill="E8EEF7"/>
            <w:vAlign w:val="center"/>
          </w:tcPr>
          <w:p w14:paraId="2FAFE4FF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验收重点</w:t>
            </w:r>
          </w:p>
        </w:tc>
      </w:tr>
      <w:tr w14:paraId="55FE878C">
        <w:trPr>
          <w:jc w:val="center"/>
        </w:trPr>
        <w:tc>
          <w:tcPr>
            <w:tcW w:w="7569" w:type="dxa"/>
            <w:vAlign w:val="center"/>
          </w:tcPr>
          <w:p w14:paraId="44FAE7AA">
            <w:pPr>
              <w:spacing w:after="0" w:line="240" w:lineRule="auto"/>
            </w:pPr>
            <w:r>
              <w:rPr>
                <w:sz w:val="18"/>
              </w:rPr>
              <w:t>流程 MVP</w:t>
            </w:r>
          </w:p>
        </w:tc>
        <w:tc>
          <w:tcPr>
            <w:tcW w:w="7569" w:type="dxa"/>
            <w:vAlign w:val="center"/>
          </w:tcPr>
          <w:p w14:paraId="09C28E36">
            <w:pPr>
              <w:spacing w:after="0" w:line="240" w:lineRule="auto"/>
            </w:pPr>
            <w:r>
              <w:rPr>
                <w:sz w:val="18"/>
              </w:rPr>
              <w:t>不接真实模型也能从 OPENING 跑到 REPORT</w:t>
            </w:r>
          </w:p>
        </w:tc>
      </w:tr>
      <w:tr w14:paraId="7893D1E7">
        <w:trPr>
          <w:jc w:val="center"/>
        </w:trPr>
        <w:tc>
          <w:tcPr>
            <w:tcW w:w="7569" w:type="dxa"/>
            <w:vAlign w:val="center"/>
          </w:tcPr>
          <w:p w14:paraId="04FDF3F8">
            <w:pPr>
              <w:spacing w:after="0" w:line="240" w:lineRule="auto"/>
            </w:pPr>
            <w:r>
              <w:rPr>
                <w:sz w:val="18"/>
              </w:rPr>
              <w:t>语音 MVP</w:t>
            </w:r>
          </w:p>
        </w:tc>
        <w:tc>
          <w:tcPr>
            <w:tcW w:w="7569" w:type="dxa"/>
            <w:vAlign w:val="center"/>
          </w:tcPr>
          <w:p w14:paraId="4813F776">
            <w:pPr>
              <w:spacing w:after="0" w:line="240" w:lineRule="auto"/>
            </w:pPr>
            <w:r>
              <w:rPr>
                <w:sz w:val="18"/>
              </w:rPr>
              <w:t>只申请一次麦克风；题目和状态不被 VAD 自动推进</w:t>
            </w:r>
          </w:p>
        </w:tc>
      </w:tr>
      <w:tr w14:paraId="71247269">
        <w:trPr>
          <w:jc w:val="center"/>
        </w:trPr>
        <w:tc>
          <w:tcPr>
            <w:tcW w:w="7569" w:type="dxa"/>
            <w:vAlign w:val="center"/>
          </w:tcPr>
          <w:p w14:paraId="6F2EAEFE">
            <w:pPr>
              <w:spacing w:after="0" w:line="240" w:lineRule="auto"/>
            </w:pPr>
            <w:r>
              <w:rPr>
                <w:sz w:val="18"/>
              </w:rPr>
              <w:t>采集 MVP</w:t>
            </w:r>
          </w:p>
        </w:tc>
        <w:tc>
          <w:tcPr>
            <w:tcW w:w="7569" w:type="dxa"/>
            <w:vAlign w:val="center"/>
          </w:tcPr>
          <w:p w14:paraId="1AA1FABB">
            <w:pPr>
              <w:spacing w:after="0" w:line="240" w:lineRule="auto"/>
            </w:pPr>
            <w:r>
              <w:rPr>
                <w:sz w:val="18"/>
              </w:rPr>
              <w:t>每个 Turn 有题目、rawTranscript、PCM、Chunk、完成原因</w:t>
            </w:r>
          </w:p>
        </w:tc>
      </w:tr>
      <w:tr w14:paraId="2615A80D">
        <w:trPr>
          <w:jc w:val="center"/>
        </w:trPr>
        <w:tc>
          <w:tcPr>
            <w:tcW w:w="7569" w:type="dxa"/>
            <w:vAlign w:val="center"/>
          </w:tcPr>
          <w:p w14:paraId="534B6B12">
            <w:pPr>
              <w:spacing w:after="0" w:line="240" w:lineRule="auto"/>
            </w:pPr>
            <w:r>
              <w:rPr>
                <w:sz w:val="18"/>
              </w:rPr>
              <w:t>评分 MVP</w:t>
            </w:r>
          </w:p>
        </w:tc>
        <w:tc>
          <w:tcPr>
            <w:tcW w:w="7569" w:type="dxa"/>
            <w:vAlign w:val="center"/>
          </w:tcPr>
          <w:p w14:paraId="031A1DFC">
            <w:pPr>
              <w:spacing w:after="0" w:line="240" w:lineRule="auto"/>
            </w:pPr>
            <w:r>
              <w:rPr>
                <w:sz w:val="18"/>
              </w:rPr>
              <w:t>四维可为空、Overall 由 Java 计算、报告状态可降级</w:t>
            </w:r>
          </w:p>
        </w:tc>
      </w:tr>
      <w:tr w14:paraId="1C91F2D1">
        <w:trPr>
          <w:jc w:val="center"/>
        </w:trPr>
        <w:tc>
          <w:tcPr>
            <w:tcW w:w="7569" w:type="dxa"/>
            <w:vAlign w:val="center"/>
          </w:tcPr>
          <w:p w14:paraId="2F28A672">
            <w:pPr>
              <w:spacing w:after="0" w:line="240" w:lineRule="auto"/>
            </w:pPr>
            <w:r>
              <w:rPr>
                <w:sz w:val="18"/>
              </w:rPr>
              <w:t>生产化</w:t>
            </w:r>
          </w:p>
        </w:tc>
        <w:tc>
          <w:tcPr>
            <w:tcW w:w="7569" w:type="dxa"/>
            <w:vAlign w:val="center"/>
          </w:tcPr>
          <w:p w14:paraId="221A0A1B">
            <w:pPr>
              <w:spacing w:after="0" w:line="240" w:lineRule="auto"/>
            </w:pPr>
            <w:r>
              <w:rPr>
                <w:sz w:val="18"/>
              </w:rPr>
              <w:t>持久化、任务队列、幂等、鉴权、计费、监控和隐私</w:t>
            </w:r>
          </w:p>
        </w:tc>
      </w:tr>
    </w:tbl>
    <w:p w14:paraId="1FD1BD98">
      <w:pPr>
        <w:spacing w:after="0"/>
      </w:pPr>
    </w:p>
    <w:p w14:paraId="7AE2130E">
      <w:pPr>
        <w:spacing w:after="80" w:line="276" w:lineRule="auto"/>
      </w:pPr>
      <w:r>
        <w:t>资料基础：本文件以《自由聊天伪代码.md》的公共会话框架和《雅思模拟模块整体框架_基于自由聊天框架改造版.md》的模块拆分为基础整理，并结合当前雅思 Demo 已实现的状态机、题库、Realtime、PCM 和考后评分边界。</w:t>
      </w:r>
    </w:p>
    <w:sectPr>
      <w:headerReference r:id="rId5" w:type="default"/>
      <w:footerReference r:id="rId6" w:type="default"/>
      <w:pgSz w:w="16838" w:h="11906" w:orient="landscape"/>
      <w:pgMar w:top="794" w:right="850" w:bottom="737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B7B0A">
    <w:pPr>
      <w:pStyle w:val="24"/>
      <w:jc w:val="right"/>
    </w:pPr>
    <w:r>
      <w:rPr>
        <w:rFonts w:ascii="Noto Sans CJK SC" w:hAnsi="Noto Sans CJK SC" w:eastAsia="Noto Sans CJK SC"/>
        <w:color w:val="6B7280"/>
        <w:sz w:val="16"/>
      </w:rPr>
      <w:fldChar w:fldCharType="begin"/>
    </w:r>
    <w:r>
      <w:rPr>
        <w:rFonts w:ascii="Noto Sans CJK SC" w:hAnsi="Noto Sans CJK SC" w:eastAsia="Noto Sans CJK SC"/>
        <w:color w:val="6B7280"/>
        <w:sz w:val="16"/>
      </w:rPr>
      <w:instrText xml:space="preserve">PAGE</w:instrText>
    </w:r>
    <w:r>
      <w:rPr>
        <w:rFonts w:ascii="Noto Sans CJK SC" w:hAnsi="Noto Sans CJK SC" w:eastAsia="Noto Sans CJK SC"/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4A821">
    <w:pPr>
      <w:pStyle w:val="25"/>
      <w:jc w:val="right"/>
    </w:pPr>
    <w:r>
      <w:rPr>
        <w:rFonts w:ascii="Noto Sans CJK SC" w:hAnsi="Noto Sans CJK SC" w:eastAsia="Noto Sans CJK SC"/>
        <w:color w:val="6B7280"/>
        <w:sz w:val="16"/>
      </w:rPr>
      <w:t>UniSpeaking｜雅思口语模块调用流程与组件关系说明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DEBE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B4530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0F766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7415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B728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2937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陨殇</cp:lastModifiedBy>
  <dcterms:modified xsi:type="dcterms:W3CDTF">2026-07-22T15:37:54Z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1C6D94B33907893D5273606ABBB374EA_42</vt:lpwstr>
  </property>
</Properties>
</file>