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Schweizer QR-Rechnung</w:t>
      </w:r>
    </w:p>
    <w:p>
      <w:pPr>
        <w:jc w:val="center"/>
      </w:pPr>
      <w:r>
        <w:rPr>
          <w:color w:val="646464"/>
          <w:sz w:val="26"/>
        </w:rPr>
        <w:t>Technische Spezifikation nach SIX Swiss Payment Standards</w:t>
      </w:r>
    </w:p>
    <w:p>
      <w:pPr>
        <w:jc w:val="center"/>
      </w:pPr>
      <w:r>
        <w:rPr>
          <w:color w:val="787878"/>
          <w:sz w:val="20"/>
        </w:rPr>
        <w:t>Basierend auf: Swiss Implementation Guidelines QR-bill v2.3</w:t>
        <w:br/>
        <w:t>Gültig ab 21. November 2025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after="40"/>
        <w:ind w:left="567"/>
      </w:pPr>
      <w:r>
        <w:t>1. Übersicht und Versionshistorie</w:t>
      </w:r>
    </w:p>
    <w:p>
      <w:pPr>
        <w:spacing w:after="40"/>
        <w:ind w:left="567"/>
      </w:pPr>
      <w:r>
        <w:t>2. Abmessungen und Layout</w:t>
      </w:r>
    </w:p>
    <w:p>
      <w:pPr>
        <w:spacing w:after="40"/>
        <w:ind w:left="567"/>
      </w:pPr>
      <w:r>
        <w:t>3. Schriftspezifikationen</w:t>
      </w:r>
    </w:p>
    <w:p>
      <w:pPr>
        <w:spacing w:after="40"/>
        <w:ind w:left="567"/>
      </w:pPr>
      <w:r>
        <w:t>4. QR-Code technische Spezifikation</w:t>
      </w:r>
    </w:p>
    <w:p>
      <w:pPr>
        <w:spacing w:after="40"/>
        <w:ind w:left="567"/>
      </w:pPr>
      <w:r>
        <w:t>5. Swiss Payments Code (SPC) – Payload-Format</w:t>
      </w:r>
    </w:p>
    <w:p>
      <w:pPr>
        <w:spacing w:after="40"/>
        <w:ind w:left="567"/>
      </w:pPr>
      <w:r>
        <w:t>6. Währungen und Referenztypen</w:t>
      </w:r>
    </w:p>
    <w:p>
      <w:pPr>
        <w:spacing w:after="40"/>
        <w:ind w:left="567"/>
      </w:pPr>
      <w:r>
        <w:t>7. IBAN und QR-IBAN</w:t>
      </w:r>
    </w:p>
    <w:p>
      <w:pPr>
        <w:spacing w:after="40"/>
        <w:ind w:left="567"/>
      </w:pPr>
      <w:r>
        <w:t>8. Adresstypen</w:t>
      </w:r>
    </w:p>
    <w:p>
      <w:pPr>
        <w:spacing w:after="40"/>
        <w:ind w:left="567"/>
      </w:pPr>
      <w:r>
        <w:t>9. Farbspezifikationen</w:t>
      </w:r>
    </w:p>
    <w:p>
      <w:pPr>
        <w:spacing w:after="40"/>
        <w:ind w:left="567"/>
      </w:pPr>
      <w:r>
        <w:t>10. Druckanforderungen</w:t>
      </w:r>
    </w:p>
    <w:p>
      <w:pPr>
        <w:spacing w:after="40"/>
        <w:ind w:left="567"/>
      </w:pPr>
      <w:r>
        <w:t>11. Validierungsregeln</w:t>
      </w:r>
    </w:p>
    <w:p>
      <w:pPr>
        <w:spacing w:after="40"/>
        <w:ind w:left="567"/>
      </w:pPr>
      <w:r>
        <w:t>12. Mehrsprachige Überschriften</w:t>
      </w:r>
    </w:p>
    <w:p>
      <w:pPr>
        <w:spacing w:after="40"/>
        <w:ind w:left="567"/>
      </w:pPr>
      <w:r>
        <w:t>13. Strukturierte Rechnungsinformationen (Swico S1)</w:t>
      </w:r>
    </w:p>
    <w:p>
      <w:pPr>
        <w:spacing w:after="40"/>
        <w:ind w:left="567"/>
      </w:pPr>
      <w:r>
        <w:t>14. Offizielle Dokumente und Quellen</w:t>
      </w:r>
    </w:p>
    <w:p>
      <w:r>
        <w:br w:type="page"/>
      </w:r>
    </w:p>
    <w:p>
      <w:pPr>
        <w:pStyle w:val="Heading1"/>
      </w:pPr>
      <w:r>
        <w:t>1. Übersicht und Versionshistorie</w:t>
      </w:r>
    </w:p>
    <w:p>
      <w:r>
        <w:t>Die Schweizer QR-Rechnung wurde am 30. Juni 2020 als Nachfolger der bisherigen Einzahlungsscheine (ESR, ES) eingeführt. Die technischen Spezifikationen werden von SIX Interbank Clearing AG im Dokument «Swiss Implementation Guidelines QR-bill» veröffentlicht.</w:t>
      </w:r>
    </w:p>
    <w:p>
      <w:pPr>
        <w:pStyle w:val="Heading2"/>
      </w:pPr>
      <w:r>
        <w:t>Aktuelle Versionen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Gültig ab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Gültig bis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Wesentliche Änderungen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v2.2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20. Nov 2023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20. Nov 2025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Basis-Version mit Adresstyp K und 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v2.3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21. Nov 2025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Nov 2027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Nur noch Adresstyp S (strukturiert); erweiterter Zeichensatz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v2.4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13. Nov 2026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TBD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Rätoromanische Überschriften (ab 1. Jan 2026)</w:t>
            </w:r>
          </w:p>
        </w:tc>
      </w:tr>
    </w:tbl>
    <w:p>
      <w:pPr>
        <w:pStyle w:val="Heading1"/>
      </w:pPr>
      <w:r>
        <w:t>2. Abmessungen und Layout</w:t>
      </w:r>
    </w:p>
    <w:p>
      <w:r>
        <w:t>Der Zahlteil befindet sich am unteren Rand einer A4-Seite. Er besteht aus dem Empfangsschein (links, 62 mm) und dem Zahlteil (rechts, 148 mm). Die Gesamthöhe beträgt 105 mm.</w:t>
      </w:r>
    </w:p>
    <w:p>
      <w:pPr>
        <w:pStyle w:val="Heading2"/>
      </w:pPr>
      <w:r>
        <w:t>Masse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Breite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Höhe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Bemerkung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A4-Seite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210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297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Standardformat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Zahlteil + Empfangsschein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210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105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Am unteren Rand der A4-Seite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Zahlteil (Payment Part)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148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105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Rechte Seite, DIN A6 quer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Empfangsschein (Receipt)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62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105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Linke Seite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Swiss QR Code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46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46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Ohne Quiet Zone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Quiet Zone um QR Code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≥ 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≥ 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Mindestens 4 Module ≈ 1.6 mm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Swiss Cross im QR Code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7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7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Zentriert im QR Code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Randzone (blank area)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≥ 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≥ 5 mm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Darf nicht bedruckt werden</w:t>
            </w:r>
          </w:p>
        </w:tc>
      </w:tr>
    </w:tbl>
    <w:p>
      <w:pPr>
        <w:pStyle w:val="Heading2"/>
      </w:pPr>
      <w:r>
        <w:t>Trennlinien</w:t>
      </w:r>
    </w:p>
    <w:p>
      <w:r>
        <w:t>Zwischen Empfangsschein und Zahlteil sowie zwischen Zahlteil und Rechnungskörper muss eine Trennlinie mit Scherensymbol (✂) oder dem Text «Vor der Einzahlung abzutrennen» angebracht werden. Bei physischem Druck ist eine Perforation erforderlich.</w:t>
      </w:r>
    </w:p>
    <w:p>
      <w:pPr>
        <w:pStyle w:val="Heading1"/>
      </w:pPr>
      <w:r>
        <w:t>3. Schriftspezifikationen</w:t>
      </w:r>
    </w:p>
    <w:p>
      <w:r>
        <w:t>Zugelassene Schriftfamilien: Arial, Frutiger, Helvetica, Liberation Sans. Schriftfarbe ist ausschliesslich Schwarz.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Empfangsschein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Zahlteil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Titel («Empfangsschein» / «Zahlteil»)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11 pt, fett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11 pt, fett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Überschriften (Konto, Referenz etc.)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6 pt, fett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8 pt, fett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Werte (IBAN, Adressen etc.)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8 pt, regular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10 pt, regular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Minimale Schriftgrösse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6 pt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6 pt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Maximale Schriftgrösse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10 pt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10 pt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Zeilenabstand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9 pt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11 pt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Blockabstand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Leerzeile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Leerzeile</w:t>
            </w:r>
          </w:p>
        </w:tc>
      </w:tr>
    </w:tbl>
    <w:p>
      <w:pPr>
        <w:pStyle w:val="Heading1"/>
      </w:pPr>
      <w:r>
        <w:t>4. QR-Code technische Spezifikation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16"/>
              </w:rPr>
              <w:t>Eigenschaft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16"/>
              </w:rPr>
              <w:t>Wert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QR-Code-Typ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QR Code (ISO 18004)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Fehlerkorrektur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Level M (Medium, ~15% Redundanz)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Codierung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UTF-8 (Coding Type = 1)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QR-Code-Grösse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46 × 46 mm (ohne Quiet Zone)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Swiss Cross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7 × 7 mm, zentriert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Swiss Cross Farbe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Weisses Kreuz auf rotem Hintergrund (Pantone 485 C)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Minimale Modulgrösse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0.4 mm (Druck)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Modulfarbe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Schwarz auf Weiss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Trennzeichen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Line Feed (LF, 0x0A) zwischen Feldern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Empfohlene Auflösung 300 DPI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543 × 543 Pixel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Empfohlene Auflösung 600 DPI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1087 × 1087 Pixel</w:t>
            </w:r>
          </w:p>
        </w:tc>
      </w:tr>
    </w:tbl>
    <w:p>
      <w:pPr>
        <w:pStyle w:val="Heading2"/>
      </w:pPr>
      <w:r>
        <w:t>Swiss Cross Masse</w:t>
      </w:r>
    </w:p>
    <w:p>
      <w:r>
        <w:t>Das Schweizerkreuz besteht aus einem roten Trägerquadrat (7 × 7 mm) mit abgerundeten Ecken, zentriert im QR-Code. Das weisse Kreuz hat Balken von 1.5 mm Breite und 4.5 mm Länge. Um das rote Quadrat liegt ein weisser Rand von ca. 0.6 mm.</w:t>
      </w:r>
    </w:p>
    <w:p>
      <w:pPr>
        <w:pStyle w:val="Heading1"/>
      </w:pPr>
      <w:r>
        <w:t>5. Swiss Payments Code (SPC) – Payload-Format</w:t>
      </w:r>
    </w:p>
    <w:p>
      <w:r>
        <w:t>Der Swiss Payments Code (SPC) ist der textuelle Inhalt des QR-Codes. Jedes Feld wird durch einen Line Feed (LF) getrennt. Status: M = Mandatory, O = Optional, D = Dependent, X = Reserviert.</w:t>
      </w:r>
    </w:p>
    <w:p>
      <w:pPr>
        <w:pStyle w:val="Heading2"/>
      </w:pPr>
      <w:r>
        <w:t>5.1 Header (Zeilen 1–3)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QRType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3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Fester Wert: SPC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Version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4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Fester Wert: 0200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Coding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Fester Wert: 1 (UTF-8)</w:t>
            </w:r>
          </w:p>
        </w:tc>
      </w:tr>
    </w:tbl>
    <w:p>
      <w:pPr>
        <w:pStyle w:val="Heading2"/>
      </w:pPr>
      <w:r>
        <w:t>5.2 Kreditor-Informationen (Zeilen 4–11)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IBAN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21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IBAN oder QR-IBAN, nur CH/LI, ohne Leerzeichen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5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Cdtr.AdrTp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Adresstyp: S (strukturiert)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Cdtr.Name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Name des Kreditors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7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Cdtr.StrtNm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Strassenname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8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Cdtr.BldgNb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Hausnummer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9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Cdtr.PstCd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Postleitzahl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10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Cdtr.TwnNm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35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Ort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11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Cdtr.Ctry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2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Ländercode (ISO 3166-1 alpha-2)</w:t>
            </w:r>
          </w:p>
        </w:tc>
      </w:tr>
    </w:tbl>
    <w:p>
      <w:pPr>
        <w:pStyle w:val="Heading2"/>
      </w:pPr>
      <w:r>
        <w:t>5.3 Ultimativer Kreditor – Reserviert (Zeilen 12–18)</w:t>
      </w:r>
    </w:p>
    <w:p>
      <w:r>
        <w:t>Sieben leere Zeilen. Dieser Bereich wurde in v2.3 entfernt, die Zeilen müssen aber für Abwärtskompatibilität als leere Zeilen beibehalten werden.</w:t>
      </w:r>
    </w:p>
    <w:p>
      <w:pPr>
        <w:pStyle w:val="Heading2"/>
      </w:pPr>
      <w:r>
        <w:t>5.4 Zahlungsbetrag (Zeilen 19–20)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19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Amt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12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Betrag (0.01–999999999.99), Dezimaltrennz. «.», immer 2 Dezimalstellen. Leer = Zahler trägt ein.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Ccy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3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Währung: CHF oder EUR</w:t>
            </w:r>
          </w:p>
        </w:tc>
      </w:tr>
    </w:tbl>
    <w:p>
      <w:pPr>
        <w:pStyle w:val="Heading2"/>
      </w:pPr>
      <w:r>
        <w:t>5.5 Debtor (Zeilen 21–27)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UltmtDbtr.AdrTp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Adresstyp: S (strukturiert)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22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UltmtDbtr.Name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Name des Debtors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23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UltmtDbtr.StrtNm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Strassenname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24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UltmtDbtr.BldgNb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Hausnummer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25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UltmtDbtr.PstCd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Postleitzahl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26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UltmtDbtr.TwnNm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35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Ort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27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UltmtDbtr.Ctry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2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Ländercode (ISO 3166-1)</w:t>
            </w:r>
          </w:p>
        </w:tc>
      </w:tr>
    </w:tbl>
    <w:p>
      <w:pPr>
        <w:pStyle w:val="Heading2"/>
      </w:pPr>
      <w:r>
        <w:t>5.6 Zahlungsreferenz (Zeilen 28–29)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28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RmtInf.Tp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Referenztyp: QRR, SCOR oder NON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29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RmtInf.Ref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27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QRR: 27 Ziffern; SCOR: max 25 alphanum. (RF+2 Prüfz.); NON: leer</w:t>
            </w:r>
          </w:p>
        </w:tc>
      </w:tr>
    </w:tbl>
    <w:p>
      <w:pPr>
        <w:pStyle w:val="Heading2"/>
      </w:pPr>
      <w:r>
        <w:t>5.7 Zusätzliche Informationen (Zeilen 30–32)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RmtInf.AddInf.Ustrd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140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Unstrukturierte Mitteilung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RmtInf.AddInf.Trailer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3 (fix)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Fester Wert: EPD (End Payment Data)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32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RmtInf.AddInf.StrdBkgInf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140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Strukturierte Rechnungsinfo (z.B. Swico S1)</w:t>
            </w:r>
          </w:p>
        </w:tc>
      </w:tr>
    </w:tbl>
    <w:p>
      <w:r>
        <w:t>Wichtig: Die Felder Ustrd (Zeile 30) und StrdBkgInf (Zeile 32) teilen sich ein kombiniertes Maximum von 140 Zeichen.</w:t>
      </w:r>
    </w:p>
    <w:p>
      <w:pPr>
        <w:pStyle w:val="Heading2"/>
      </w:pPr>
      <w:r>
        <w:t>5.8 Alternative Verfahren (Zeilen 33–34)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Zeile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33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AltPmt.1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100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Alternative Verfahrensparameter 1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34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AltPmt.2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O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100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Alternative Verfahrensparameter 2</w:t>
            </w:r>
          </w:p>
        </w:tc>
      </w:tr>
    </w:tbl>
    <w:p>
      <w:pPr>
        <w:pStyle w:val="Heading2"/>
      </w:pPr>
      <w:r>
        <w:t>5.9 Beispiel SPC-Payload</w:t>
      </w:r>
    </w:p>
    <w:p>
      <w:r>
        <w:rPr>
          <w:rFonts w:ascii="Courier New" w:hAnsi="Courier New"/>
          <w:sz w:val="16"/>
        </w:rPr>
        <w:t>SPC</w:t>
        <w:br/>
        <w:t>0200</w:t>
        <w:br/>
        <w:t>1</w:t>
        <w:br/>
        <w:t>CH4431999123000889012</w:t>
        <w:br/>
        <w:t>S</w:t>
        <w:br/>
        <w:t>Robert Schneider AG</w:t>
        <w:br/>
        <w:t>Rue du Lac</w:t>
        <w:br/>
        <w:t>1268</w:t>
        <w:br/>
        <w:t>2501</w:t>
        <w:br/>
        <w:t>Biel</w:t>
        <w:br/>
        <w:t>CH</w:t>
        <w:br/>
        <w:br/>
        <w:br/>
        <w:br/>
        <w:br/>
        <w:br/>
        <w:br/>
        <w:br/>
        <w:t>1949.75</w:t>
        <w:br/>
        <w:t>CHF</w:t>
        <w:br/>
        <w:t>S</w:t>
        <w:br/>
        <w:t>Pia-Maria Rutschmann-Schnyder</w:t>
        <w:br/>
        <w:t>Grosse Marktgasse</w:t>
        <w:br/>
        <w:t>28</w:t>
        <w:br/>
        <w:t>9400</w:t>
        <w:br/>
        <w:t>Rorschach</w:t>
        <w:br/>
        <w:t>CH</w:t>
        <w:br/>
        <w:t>QRR</w:t>
        <w:br/>
        <w:t>210000000003139471430009017</w:t>
        <w:br/>
        <w:t>Instruction of 03.04.2019</w:t>
        <w:br/>
        <w:t>EPD</w:t>
        <w:br/>
        <w:t>//S1/10/10201409/11/190512/20/1400.000-53/30/106017086/31/180508/32/7.7/40/2:10;0:30</w:t>
      </w:r>
    </w:p>
    <w:p>
      <w:pPr>
        <w:pStyle w:val="Heading1"/>
      </w:pPr>
      <w:r>
        <w:t>6. Währungen und Referenztypen</w:t>
      </w:r>
    </w:p>
    <w:p>
      <w:pPr>
        <w:pStyle w:val="Heading2"/>
      </w:pPr>
      <w:r>
        <w:t>6.1 Zulässige Währungen</w:t>
      </w:r>
    </w:p>
    <w:p>
      <w:r>
        <w:t>Es sind ausschliesslich zwei Währungen zulässig: CHF (Schweizer Franken) und EUR (Euro).</w:t>
      </w:r>
    </w:p>
    <w:p>
      <w:pPr>
        <w:pStyle w:val="Heading2"/>
      </w:pPr>
      <w:r>
        <w:t>6.2 Referenztypen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/>
            <w:r>
              <w:rPr>
                <w:b/>
                <w:sz w:val="16"/>
              </w:rPr>
              <w:t>Typ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Bezeichnung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Format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Prüfziffer</w:t>
            </w:r>
          </w:p>
        </w:tc>
        <w:tc>
          <w:tcPr>
            <w:tcW w:type="dxa" w:w="1814"/>
          </w:tcPr>
          <w:p>
            <w:pPr/>
            <w:r>
              <w:rPr>
                <w:b/>
                <w:sz w:val="16"/>
              </w:rPr>
              <w:t>IBAN-Typ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QRR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QR-Referenz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27 numerische Ziffern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Modulo 10 rekursiv (Pos. 27)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QR-IBAN erforderlich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SCOR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Creditor Reference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Max 25 alphanum., beginnt mit RF + 2 Prüfziffern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Modulo 97-10 (ISO 7064)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Standard-IBAN oder QR-IBAN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6"/>
              </w:rPr>
              <w:t>NON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Keine Referenz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Leer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814"/>
          </w:tcPr>
          <w:p>
            <w:pPr/>
            <w:r>
              <w:rPr>
                <w:sz w:val="16"/>
              </w:rPr>
              <w:t>Nur Standard-IBAN</w:t>
            </w:r>
          </w:p>
        </w:tc>
      </w:tr>
    </w:tbl>
    <w:p>
      <w:pPr>
        <w:pStyle w:val="Heading2"/>
      </w:pPr>
      <w:r>
        <w:t>6.3 Zulässige Kombinationen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/>
            <w:r>
              <w:rPr>
                <w:b/>
                <w:sz w:val="16"/>
              </w:rPr>
              <w:t>Währung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QRR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SCOR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NON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CHF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✓ (QR-IBAN)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✓ (Standard-IBAN)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✓ (Standard-IBAN)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EUR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✗ Nicht erlaubt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✓ (Standard-IBAN)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✓ (Standard-IBAN)</w:t>
            </w:r>
          </w:p>
        </w:tc>
      </w:tr>
    </w:tbl>
    <w:p>
      <w:pPr>
        <w:pStyle w:val="Heading1"/>
      </w:pPr>
      <w:r>
        <w:t>7. IBAN und QR-IBAN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/>
            <w:r>
              <w:rPr>
                <w:b/>
                <w:sz w:val="16"/>
              </w:rPr>
              <w:t>Eigenschaft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Standard-IBAN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QR-IBAN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Länge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21 Zeichen (CH/LI)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21 Zeichen (CH/LI)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Ländercodes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CH oder LI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CH oder LI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IID-Bereich (Pos. 5–9)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Normale Clearingnummern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30000–31999 (QR-IID)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Verwendung mit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SCOR oder NON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QRR (zwingend)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Beispiel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CH93 0076 2011 6238 5295 7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CH44 3199 9123 0008 8901 2</w:t>
            </w:r>
          </w:p>
        </w:tc>
      </w:tr>
    </w:tbl>
    <w:p>
      <w:r>
        <w:t>Im SPC-Payload darf die IBAN keine Leerzeichen enthalten. Die Prüfziffer wird nach ISO 13616-1:2007 (Modulo 97) validiert.</w:t>
      </w:r>
    </w:p>
    <w:p>
      <w:pPr>
        <w:pStyle w:val="Heading1"/>
      </w:pPr>
      <w:r>
        <w:t>8. Adresstypen</w:t>
      </w:r>
    </w:p>
    <w:p>
      <w:r>
        <w:t>Ab Version 2.3 (November 2025) ist ausschliesslich der strukturierte Adresstyp S zulässig. Der kombinierte Adresstyp K wurde entfernt.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/>
            <w:r>
              <w:rPr>
                <w:b/>
                <w:sz w:val="16"/>
              </w:rPr>
              <w:t>Feld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Max. Länge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Beschreibung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Name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Pflicht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Vor- und Nachname oder Firmenname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Strasse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Optional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70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Strassenname ohne Hausnummer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Hausnummer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Optional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Gebäude-/Hausnummer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Postleitzahl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Dependent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16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Ohne Länderpräfix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Ort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Dependent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35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Stadt/Gemeinde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Ländercode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Pflicht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ISO 3166-1 alpha-2 (z.B. CH, DE, AT)</w:t>
            </w:r>
          </w:p>
        </w:tc>
      </w:tr>
    </w:tbl>
    <w:p>
      <w:r>
        <w:t>Übergangsfrist: Rechnungen mit Adresstyp K können ab Ende September 2026 von Banken abgelehnt werden.</w:t>
      </w:r>
    </w:p>
    <w:p>
      <w:pPr>
        <w:pStyle w:val="Heading1"/>
      </w:pPr>
      <w:r>
        <w:t>9. Farbspezifikationen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1512"/>
          </w:tcPr>
          <w:p>
            <w:pPr/>
            <w:r>
              <w:rPr>
                <w:b/>
                <w:sz w:val="16"/>
              </w:rPr>
              <w:t>Farbe</w:t>
            </w:r>
          </w:p>
        </w:tc>
        <w:tc>
          <w:tcPr>
            <w:tcW w:type="dxa" w:w="1512"/>
          </w:tcPr>
          <w:p>
            <w:pPr/>
            <w:r>
              <w:rPr>
                <w:b/>
                <w:sz w:val="16"/>
              </w:rPr>
              <w:t>Pantone</w:t>
            </w:r>
          </w:p>
        </w:tc>
        <w:tc>
          <w:tcPr>
            <w:tcW w:type="dxa" w:w="1512"/>
          </w:tcPr>
          <w:p>
            <w:pPr/>
            <w:r>
              <w:rPr>
                <w:b/>
                <w:sz w:val="16"/>
              </w:rPr>
              <w:t>RGB</w:t>
            </w:r>
          </w:p>
        </w:tc>
        <w:tc>
          <w:tcPr>
            <w:tcW w:type="dxa" w:w="1512"/>
          </w:tcPr>
          <w:p>
            <w:pPr/>
            <w:r>
              <w:rPr>
                <w:b/>
                <w:sz w:val="16"/>
              </w:rPr>
              <w:t>Hex</w:t>
            </w:r>
          </w:p>
        </w:tc>
        <w:tc>
          <w:tcPr>
            <w:tcW w:type="dxa" w:w="1512"/>
          </w:tcPr>
          <w:p>
            <w:pPr/>
            <w:r>
              <w:rPr>
                <w:b/>
                <w:sz w:val="16"/>
              </w:rPr>
              <w:t>CMYK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Swiss Cross Hintergrund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Rot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485 C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218, 41, 28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#DA291C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0/81/86/14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Swiss Cross Kreuz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Weiss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255, 255, 255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#FFFFFF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0/0/0/0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QR-Code Module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Schwarz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0, 0, 0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#000000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0/0/0/100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QR-Code Hintergrund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Weiss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255, 255, 255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#FFFFFF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0/0/0/0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Sämtlicher Text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Schwarz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0, 0, 0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#000000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0/0/0/100</w:t>
            </w:r>
          </w:p>
        </w:tc>
      </w:tr>
      <w:tr>
        <w:tc>
          <w:tcPr>
            <w:tcW w:type="dxa" w:w="1512"/>
          </w:tcPr>
          <w:p>
            <w:pPr/>
            <w:r>
              <w:rPr>
                <w:sz w:val="16"/>
              </w:rPr>
              <w:t>Hintergrund Zahlteil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Weiss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–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255, 255, 255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#FFFFFF</w:t>
            </w:r>
          </w:p>
        </w:tc>
        <w:tc>
          <w:tcPr>
            <w:tcW w:type="dxa" w:w="1512"/>
          </w:tcPr>
          <w:p>
            <w:pPr/>
            <w:r>
              <w:rPr>
                <w:sz w:val="16"/>
              </w:rPr>
              <w:t>0/0/0/0</w:t>
            </w:r>
          </w:p>
        </w:tc>
      </w:tr>
    </w:tbl>
    <w:p>
      <w:pPr>
        <w:pStyle w:val="Heading1"/>
      </w:pPr>
      <w:r>
        <w:t>10. Druckanforderungen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16"/>
              </w:rPr>
              <w:t>Eigenschaft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16"/>
              </w:rPr>
              <w:t>Vorgabe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Minimale Druckauflösung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300 DPI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Minimale Scan-Auflösung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200 DPI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Papierfarbe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Weiss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Papiergewicht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80–100 g/m²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Papierformat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A4 (Zahlteil unten) oder A6 separat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Zulässige Papierarten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Recycling, FSC, TCF zertifiziert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Nicht zulässig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Beschichtetes oder reflektierendes Papier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Perforation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Erforderlich zwischen Empfangsschein/Zahlteil und Zahlteil/Rechnungskörper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Scherensymbol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Auf jeder Trennlinie (bei PDF/elektronisch)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6"/>
              </w:rPr>
              <w:t>Eckmarkierungen</w:t>
            </w:r>
          </w:p>
        </w:tc>
        <w:tc>
          <w:tcPr>
            <w:tcW w:type="dxa" w:w="4536"/>
          </w:tcPr>
          <w:p>
            <w:pPr/>
            <w:r>
              <w:rPr>
                <w:sz w:val="16"/>
              </w:rPr>
              <w:t>Erforderlich für leere Betrags- und Debtor-Felder (farblose Rahmen mit Eckmarkierungen)</w:t>
            </w:r>
          </w:p>
        </w:tc>
      </w:tr>
    </w:tbl>
    <w:p>
      <w:pPr>
        <w:pStyle w:val="Heading1"/>
      </w:pPr>
      <w:r>
        <w:t>11. Validierungsregeln</w:t>
      </w:r>
    </w:p>
    <w:p>
      <w:pPr>
        <w:pStyle w:val="Heading2"/>
      </w:pPr>
      <w:r>
        <w:t>11.1 IBAN-Validierung</w:t>
      </w:r>
    </w:p>
    <w:p>
      <w:r>
        <w:rPr>
          <w:b/>
        </w:rPr>
        <w:t xml:space="preserve">• </w:t>
      </w:r>
      <w:r>
        <w:t>Genau 21 Zeichen für CH/LI</w:t>
        <w:br/>
      </w:r>
      <w:r>
        <w:rPr>
          <w:b/>
        </w:rPr>
        <w:t xml:space="preserve">• </w:t>
      </w:r>
      <w:r>
        <w:t>Prüfziffernvalidierung nach ISO 13616-1:2007 (Modulo 97)</w:t>
        <w:br/>
      </w:r>
      <w:r>
        <w:rPr>
          <w:b/>
        </w:rPr>
        <w:t xml:space="preserve">• </w:t>
      </w:r>
      <w:r>
        <w:t>Nur Ländercodes CH oder LI zulässig</w:t>
        <w:br/>
      </w:r>
      <w:r>
        <w:rPr>
          <w:b/>
        </w:rPr>
        <w:t xml:space="preserve">• </w:t>
      </w:r>
      <w:r>
        <w:t>Keine Leerzeichen im SPC-Payload</w:t>
      </w:r>
    </w:p>
    <w:p>
      <w:pPr>
        <w:pStyle w:val="Heading2"/>
      </w:pPr>
      <w:r>
        <w:t>11.2 QRR-Referenz-Validierung</w:t>
      </w:r>
    </w:p>
    <w:p>
      <w:r>
        <w:rPr>
          <w:b/>
        </w:rPr>
        <w:t xml:space="preserve">• </w:t>
      </w:r>
      <w:r>
        <w:t>Genau 27 numerische Ziffern</w:t>
        <w:br/>
      </w:r>
      <w:r>
        <w:rPr>
          <w:b/>
        </w:rPr>
        <w:t xml:space="preserve">• </w:t>
      </w:r>
      <w:r>
        <w:t>Position 27 ist Prüfziffer (Modulo 10 rekursiv)</w:t>
        <w:br/>
      </w:r>
      <w:r>
        <w:rPr>
          <w:b/>
        </w:rPr>
        <w:t xml:space="preserve">• </w:t>
      </w:r>
      <w:r>
        <w:t>Erfordert QR-IBAN (IID im Bereich 30000–31999)</w:t>
        <w:br/>
      </w:r>
      <w:r>
        <w:rPr>
          <w:b/>
        </w:rPr>
        <w:t xml:space="preserve">• </w:t>
      </w:r>
      <w:r>
        <w:t>Anzeigeformat: 2 + 5×5 Ziffern (z.B. 21 00000 00003 13947 14300 09017)</w:t>
      </w:r>
    </w:p>
    <w:p>
      <w:pPr>
        <w:pStyle w:val="Heading2"/>
      </w:pPr>
      <w:r>
        <w:t>11.3 SCOR-Referenz-Validierung</w:t>
      </w:r>
    </w:p>
    <w:p>
      <w:r>
        <w:rPr>
          <w:b/>
        </w:rPr>
        <w:t xml:space="preserve">• </w:t>
      </w:r>
      <w:r>
        <w:t>Maximal 25 alphanumerische Zeichen</w:t>
        <w:br/>
      </w:r>
      <w:r>
        <w:rPr>
          <w:b/>
        </w:rPr>
        <w:t xml:space="preserve">• </w:t>
      </w:r>
      <w:r>
        <w:t>Beginnt mit «RF» gefolgt von 2 Prüfziffern</w:t>
        <w:br/>
      </w:r>
      <w:r>
        <w:rPr>
          <w:b/>
        </w:rPr>
        <w:t xml:space="preserve">• </w:t>
      </w:r>
      <w:r>
        <w:t>Prüfziffern nach Modulo 97-10 (ISO/IEC 7064, ISO 11649)</w:t>
        <w:br/>
      </w:r>
      <w:r>
        <w:rPr>
          <w:b/>
        </w:rPr>
        <w:t xml:space="preserve">• </w:t>
      </w:r>
      <w:r>
        <w:t>Anzeigeformat: 4×4 Zeichen (z.B. RF48 5000 0567 89)</w:t>
      </w:r>
    </w:p>
    <w:p>
      <w:pPr>
        <w:pStyle w:val="Heading2"/>
      </w:pPr>
      <w:r>
        <w:t>11.4 Betrags-Validierung</w:t>
      </w:r>
    </w:p>
    <w:p>
      <w:r>
        <w:rPr>
          <w:b/>
        </w:rPr>
        <w:t xml:space="preserve">• </w:t>
      </w:r>
      <w:r>
        <w:t>Bereich: 0.01 bis 999 999 999.99</w:t>
        <w:br/>
      </w:r>
      <w:r>
        <w:rPr>
          <w:b/>
        </w:rPr>
        <w:t xml:space="preserve">• </w:t>
      </w:r>
      <w:r>
        <w:t>Dezimaltrennzeichen: «.» (Punkt)</w:t>
        <w:br/>
      </w:r>
      <w:r>
        <w:rPr>
          <w:b/>
        </w:rPr>
        <w:t xml:space="preserve">• </w:t>
      </w:r>
      <w:r>
        <w:t>Immer 2 Dezimalstellen</w:t>
        <w:br/>
      </w:r>
      <w:r>
        <w:rPr>
          <w:b/>
        </w:rPr>
        <w:t xml:space="preserve">• </w:t>
      </w:r>
      <w:r>
        <w:t>Maximal 12 Zeichen total</w:t>
        <w:br/>
      </w:r>
      <w:r>
        <w:rPr>
          <w:b/>
        </w:rPr>
        <w:t xml:space="preserve">• </w:t>
      </w:r>
      <w:r>
        <w:t>Darf leer sein (Zahler trägt Betrag manuell ein)</w:t>
      </w:r>
    </w:p>
    <w:p>
      <w:pPr>
        <w:pStyle w:val="Heading2"/>
      </w:pPr>
      <w:r>
        <w:t>11.5 Zeichensatz</w:t>
      </w:r>
    </w:p>
    <w:p>
      <w:r>
        <w:t>UTF-8-Codierung. Erweiterter lateinischer Zeichensatz ab v2.3 (Umlaute, Akzente: ä, ö, ü, é, è, à, ç etc.). Slawische Zeichen (z.B. č) sind nicht zulässig. Anzeige: Leerzeichen als Tausendertrennzeichen, «.» als Dezimaltrennzeichen.</w:t>
      </w:r>
    </w:p>
    <w:p>
      <w:pPr>
        <w:pStyle w:val="Heading1"/>
      </w:pPr>
      <w:r>
        <w:t>12. Mehrsprachige Überschriften</w:t>
      </w:r>
    </w:p>
    <w:p>
      <w:r>
        <w:t>Die Überschriften auf dem Zahlteil und Empfangsschein müssen in der jeweiligen Landessprache gedruckt werden.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/>
            <w:r>
              <w:rPr>
                <w:b/>
                <w:sz w:val="16"/>
              </w:rPr>
              <w:t>Deutsch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Französisch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Italienisch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6"/>
              </w:rPr>
              <w:t>Englisch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Zahlteil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Section paiement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Sezione pagamento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Payment part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Empfangsschein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Récépissé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Ricevuta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Receipt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Konto / Zahlbar an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Compte / Payable à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Conto / Pagabile a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Account / Payable to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Referenz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Référence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Riferimento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Reference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Zusätzliche Informationen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Informations supplémentaires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Informazioni supplementari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Additional information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Währung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Monnaie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Valuta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Currency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Betrag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Montant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Importo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Amount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Zahlbar durch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Payable par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Pagabile da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Payable by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Zahlbar durch</w:t>
              <w:br/>
              <w:t>(Name/Adresse)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Payable par</w:t>
              <w:br/>
              <w:t>(nom/adresse)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Pagabile da</w:t>
              <w:br/>
              <w:t>(nome/indirizzo)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Payable by</w:t>
              <w:br/>
              <w:t>(name/address)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6"/>
              </w:rPr>
              <w:t>Annahmestelle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Point de dépôt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Punto di accettazione</w:t>
            </w:r>
          </w:p>
        </w:tc>
        <w:tc>
          <w:tcPr>
            <w:tcW w:type="dxa" w:w="2268"/>
          </w:tcPr>
          <w:p>
            <w:pPr/>
            <w:r>
              <w:rPr>
                <w:sz w:val="16"/>
              </w:rPr>
              <w:t>Acceptance point</w:t>
            </w:r>
          </w:p>
        </w:tc>
      </w:tr>
    </w:tbl>
    <w:p>
      <w:r>
        <w:t>Ab v2.4 (Januar 2026) werden zusätzlich rätoromanische Überschriften unterstützt.</w:t>
      </w:r>
    </w:p>
    <w:p>
      <w:pPr>
        <w:pStyle w:val="Heading1"/>
      </w:pPr>
      <w:r>
        <w:t>13. Strukturierte Rechnungsinformationen (Swico S1)</w:t>
      </w:r>
    </w:p>
    <w:p>
      <w:r>
        <w:t>Das optionale Feld StrdBkgInf (Zeile 32) kann strukturierte Rechnungsinformationen im Swico-S1-Format enthalten. Prefix: //S1/, gefolgt von Tag/Wert-Paaren, getrennt durch /.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/>
            <w:r>
              <w:rPr>
                <w:b/>
                <w:sz w:val="16"/>
              </w:rPr>
              <w:t>Tag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Beschreibung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6"/>
              </w:rPr>
              <w:t>Format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/10/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Rechnungsnummer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Alphanumerisch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/11/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Rechnungsdatum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JJMMTT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/20/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Kundenreferenz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Alphanumerisch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/30/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MWST-Nummer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Numerisch (ohne Punkt/Bindestrich)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/31/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MWST-Datum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JJMMTT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/32/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MWST-Satz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Dezimalzahl (z.B. 7.7)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6"/>
              </w:rPr>
              <w:t>/40/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Zahlungsbedingungen</w:t>
            </w:r>
          </w:p>
        </w:tc>
        <w:tc>
          <w:tcPr>
            <w:tcW w:type="dxa" w:w="3024"/>
          </w:tcPr>
          <w:p>
            <w:pPr/>
            <w:r>
              <w:rPr>
                <w:sz w:val="16"/>
              </w:rPr>
              <w:t>Rabatt:Tage-Paare, getrennt durch ;</w:t>
            </w:r>
          </w:p>
        </w:tc>
      </w:tr>
    </w:tbl>
    <w:p>
      <w:r>
        <w:t xml:space="preserve">Beispiel: </w:t>
      </w:r>
      <w:r>
        <w:rPr>
          <w:rFonts w:ascii="Courier New" w:hAnsi="Courier New"/>
          <w:sz w:val="16"/>
        </w:rPr>
        <w:t>//S1/10/10201409/11/190512/20/1400.000-53/30/106017086/31/180508/32/7.7/40/2:10;0:30</w:t>
      </w:r>
    </w:p>
    <w:p>
      <w:pPr>
        <w:pStyle w:val="Heading1"/>
      </w:pPr>
      <w:r>
        <w:t>14. Offizielle Dokumente und Quellen</w:t>
      </w:r>
    </w:p>
    <w:p>
      <w:r>
        <w:t>Alle offiziellen Dokumente sind im SIX Download Center verfügbar:</w:t>
      </w:r>
    </w:p>
    <w:p>
      <w:r>
        <w:rPr>
          <w:b/>
        </w:rPr>
        <w:t>Swiss Implementation Guidelines QR-bill v2.3</w:t>
      </w:r>
      <w:r>
        <w:t xml:space="preserve"> – Technische und fachliche Spezifikation</w:t>
      </w:r>
    </w:p>
    <w:p>
      <w:r>
        <w:rPr>
          <w:b/>
        </w:rPr>
        <w:t>Style Guide QR-bill</w:t>
      </w:r>
      <w:r>
        <w:t xml:space="preserve"> – Design- und Layout-Vorgaben</w:t>
      </w:r>
    </w:p>
    <w:p>
      <w:r>
        <w:rPr>
          <w:b/>
        </w:rPr>
        <w:t>Processing Rules QR-bill</w:t>
      </w:r>
      <w:r>
        <w:t xml:space="preserve"> – Geschäftsregeln für die Verarbeitung</w:t>
      </w:r>
    </w:p>
    <w:p>
      <w:r>
        <w:rPr>
          <w:b/>
        </w:rPr>
        <w:t>QR-IID und QR-IBAN Technical Information</w:t>
      </w:r>
      <w:r>
        <w:t xml:space="preserve"> – Kontokennungs-Spezifikation</w:t>
      </w:r>
    </w:p>
    <w:p>
      <w:r>
        <w:rPr>
          <w:b/>
        </w:rPr>
        <w:t>Alternative Procedures Documentation</w:t>
      </w:r>
      <w:r>
        <w:t xml:space="preserve"> – Spezifikation der AltPmt-Felder</w:t>
      </w:r>
    </w:p>
    <w:p>
      <w:r>
        <w:rPr>
          <w:b/>
        </w:rPr>
        <w:t>Bank Master (IID/QR-IID-Liste)</w:t>
      </w:r>
      <w:r>
        <w:t xml:space="preserve"> – Liste der teilnehmenden Banken</w:t>
      </w:r>
    </w:p>
    <w:p>
      <w:r>
        <w:rPr>
          <w:b/>
        </w:rPr>
        <w:br/>
        <w:t xml:space="preserve">Download: </w:t>
      </w:r>
      <w:r>
        <w:t>https://www.six-group.com/en/products-services/banking-services/payment-standardization/downloads-faq/download-center.html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