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b/>
          <w:sz w:val="32"/>
        </w:rPr>
        <w:t>テスト要求モデルによるホワイトボックス品質情報の非エンジニア共有</w:t>
      </w:r>
    </w:p>
    <w:p>
      <w:pPr>
        <w:jc w:val="center"/>
      </w:pPr>
      <w:r>
        <w:rPr>
          <w:rFonts w:ascii="游ゴシック" w:hAnsi="游ゴシック"/>
          <w:sz w:val="26"/>
        </w:rPr>
        <w:t>4種の図式自動生成を用いた AI駆動開発時代の品質可視化</w:t>
      </w:r>
    </w:p>
    <w:p/>
    <w:p>
      <w:pPr>
        <w:jc w:val="center"/>
      </w:pPr>
      <w:r>
        <w:rPr>
          <w:i/>
          <w:sz w:val="20"/>
        </w:rPr>
        <w:t>[著者情報 — 匿名査読のため空欄]</w:t>
      </w:r>
    </w:p>
    <w:p/>
    <w:p>
      <w:pPr>
        <w:jc w:val="center"/>
      </w:pPr>
      <w:r>
        <w:rPr>
          <w:i/>
          <w:sz w:val="18"/>
        </w:rPr>
        <w:t>Draft v6 — 2026-04-21</w:t>
      </w:r>
    </w:p>
    <w:p>
      <w:r>
        <w:br w:type="page"/>
      </w:r>
    </w:p>
    <w:p>
      <w:pPr>
        <w:pStyle w:val="Heading1"/>
      </w:pPr>
      <w:r>
        <w:t>4種の図式自動生成を用いた AI駆動開発時代の品質可視化</w:t>
      </w:r>
    </w:p>
    <w:p>
      <w:pPr>
        <w:pStyle w:val="Heading1"/>
      </w:pPr>
      <w:r>
        <w:t>Abstract（概要）</w:t>
      </w:r>
    </w:p>
    <w:p>
      <w:pPr>
        <w:spacing w:after="60" w:line="312" w:lineRule="auto"/>
      </w:pPr>
      <w:r>
        <w:t>LLM を先行させた AI 駆動開発やテスト駆動開発が広く採用される中、実装領域のホワイトボックス品質情報はコードに閉じ込められ、要求作成ロール（非エンジニアを含む）がアクセスできない「可読性ギャップ」が生じている。本研究はコードのみを入力として、(1)ホワイトボックス評価における確認対象領域の十分性を高めること、(2)非エンジニアにも伝わる形で品質情報を共有できることの2点を妥当性の問いとし、テスト要求モデル（Test Requirement Model, 以下 TRM）を中間成果物とする手法を提案・実証する。本稿では従来5種別（分岐網羅・同値クラス・境界値・エラーパス・依存切替）と OOP 拡張3種別（クラス継承・状態変数・コードパターン）に加え、新たにカプセル化種別（EN）を設計し、スキーマ v3.1 として統合した。C++ 手続き型 OSS（sakura-editor）と Python OOP OSS（pallets/click）の2実証を行い、それぞれ99件・173件の要求を導出、前者で可読率 65.7% を達成した。EN 種別は click で15〜21件を検出し、既存テストには対応観点のない構造設計上の懸念（漏洩アクセサ・構築契約など）を明らかにした。さらに TRM を入力として Sunburst・Sankey・Heatmap・Chord の4種の図式を自動生成する可視化レイヤを実装し、非エンジニアへの情報提供手段として提案する。</w:t>
      </w:r>
    </w:p>
    <w:p>
      <w:pPr>
        <w:spacing w:after="60" w:line="312" w:lineRule="auto"/>
      </w:pPr>
      <w:r>
        <w:rPr>
          <w:b/>
        </w:rPr>
        <w:t>キーワード</w:t>
      </w:r>
      <w:r>
        <w:t>: テスト要求モデル、ホワイトボックステスト、AI駆動開発、可視化、カプセル化、静的解析</w:t>
      </w:r>
    </w:p>
    <w:p>
      <w:pPr>
        <w:pStyle w:val="Heading1"/>
      </w:pPr>
      <w:r>
        <w:t>1. はじめに</w:t>
      </w:r>
    </w:p>
    <w:p>
      <w:pPr>
        <w:pStyle w:val="Heading2"/>
      </w:pPr>
      <w:r>
        <w:t>1.1 背景</w:t>
      </w:r>
    </w:p>
    <w:p>
      <w:pPr>
        <w:spacing w:after="60" w:line="312" w:lineRule="auto"/>
      </w:pPr>
      <w:r>
        <w:t>近年、GitHub Copilot や Claude Code、ChatGPT を用いた開発支援が普及し、コード生成・リファクタリング・テスト生成の一部が大規模言語モデル（LLM）に委ねられる「AI 駆動開発」が実務に浸透している。同時に、テスト駆動開発（Test-Driven Development, TDD）や振る舞い駆動開発（Behavior-Driven Development, BDD）も広く採用されており、外側の仕様・インターフェース・ユニットテストは比較的整備される傾向にある。</w:t>
      </w:r>
    </w:p>
    <w:p>
      <w:pPr>
        <w:spacing w:after="60" w:line="312" w:lineRule="auto"/>
      </w:pPr>
      <w:r>
        <w:t>しかし、こうした開発スタイルの普及と並行して、</w:t>
      </w:r>
      <w:r>
        <w:rPr>
          <w:b/>
        </w:rPr>
        <w:t>実装領域のホワイトボックスレイヤー（内部実装の品質情報）の保守が弱まる</w:t>
      </w:r>
      <w:r>
        <w:t xml:space="preserve"> 傾向が観察される。これは次の要因による:</w:t>
      </w:r>
    </w:p>
    <w:p>
      <w:pPr>
        <w:pStyle w:val="ListBullet"/>
      </w:pPr>
      <w:r>
        <w:t>LLM が生成したコードの内部構造を人間が十分に読み込まないまま承認する</w:t>
      </w:r>
    </w:p>
    <w:p>
      <w:pPr>
        <w:pStyle w:val="ListBullet"/>
      </w:pPr>
      <w:r>
        <w:t>仕様書やインターフェース定義では表現できない 実装の内部契約（不変条件・可変性・依存関係）が暗黙のまま取り残される</w:t>
      </w:r>
    </w:p>
    <w:p>
      <w:pPr>
        <w:pStyle w:val="ListBullet"/>
      </w:pPr>
      <w:r>
        <w:t>テストケースは整備されても、テスト要求（何を検証すべきか） そのものの構造化は進んでいない</w:t>
      </w:r>
    </w:p>
    <w:p>
      <w:pPr>
        <w:pStyle w:val="ListBullet"/>
      </w:pPr>
      <w:r>
        <w:t>品質情報がコードの中に閉じ込められ、要求作成ロール（企画・プロダクトマネージャー・品質保証担当のうち非エンジニア）からアクセスできない</w:t>
      </w:r>
    </w:p>
    <w:p>
      <w:pPr>
        <w:spacing w:after="60" w:line="312" w:lineRule="auto"/>
      </w:pPr>
      <w:r>
        <w:t>この「品質情報の可読性ギャップ」は、実装のリファクタや外部要因（依存ライブラリ更新、仕様変更）が発生したときに、</w:t>
      </w:r>
      <w:r>
        <w:rPr>
          <w:b/>
        </w:rPr>
        <w:t>何を再検証すべきか</w:t>
      </w:r>
      <w:r>
        <w:t xml:space="preserve"> がコードを読める人にしかわからない、という形で顕在化する。</w:t>
      </w:r>
    </w:p>
    <w:p>
      <w:pPr>
        <w:pStyle w:val="Heading2"/>
      </w:pPr>
      <w:r>
        <w:t>1.2 研究の問い</w:t>
      </w:r>
    </w:p>
    <w:p>
      <w:pPr>
        <w:spacing w:after="60" w:line="312" w:lineRule="auto"/>
      </w:pPr>
      <w:r>
        <w:t>上記の課題に対して、本研究はコードを唯一の入力として、次の2点の妥当性を問う:</w:t>
      </w:r>
    </w:p>
    <w:p>
      <w:pPr>
        <w:spacing w:after="60" w:line="312" w:lineRule="auto"/>
      </w:pPr>
      <w:r>
        <w:rPr>
          <w:b/>
        </w:rPr>
        <w:t>問い (1)</w:t>
      </w:r>
      <w:r>
        <w:t>: ホワイトボックス評価において、確認対象領域の十分性を高められるか。</w:t>
      </w:r>
    </w:p>
    <w:p>
      <w:pPr>
        <w:spacing w:after="60" w:line="312" w:lineRule="auto"/>
      </w:pPr>
      <w:r>
        <w:rPr>
          <w:b/>
        </w:rPr>
        <w:t>問い (2)</w:t>
      </w:r>
      <w:r>
        <w:t>: 非エンジニアにも伝わる形で品質情報を共有できるか。</w:t>
      </w:r>
    </w:p>
    <w:p>
      <w:pPr>
        <w:spacing w:after="60" w:line="312" w:lineRule="auto"/>
      </w:pPr>
      <w:r>
        <w:t>前者は検証観点の網羅率と構造的妥当性の問題であり、後者は品質情報のコミュニケーション基盤化の問題である。両者はコードから情報を自動的に抽出し、意味を損なわずに再表現する仕組みを必要とする点で相互に関連する。</w:t>
      </w:r>
    </w:p>
    <w:p>
      <w:pPr>
        <w:pStyle w:val="Heading2"/>
      </w:pPr>
      <w:r>
        <w:t>1.3 貢献</w:t>
      </w:r>
    </w:p>
    <w:p>
      <w:pPr>
        <w:spacing w:after="60" w:line="312" w:lineRule="auto"/>
      </w:pPr>
      <w:r>
        <w:t>本研究の貢献は次の5点である:</w:t>
      </w:r>
    </w:p>
    <w:p>
      <w:pPr>
        <w:pStyle w:val="ListNumber"/>
      </w:pPr>
      <w:r>
        <w:t>従来5種別と OOP 拡張3種別、合計8種別のテスト要求を統合した TRM v3.1 スキーマ の設計</w:t>
      </w:r>
    </w:p>
    <w:p>
      <w:pPr>
        <w:pStyle w:val="ListNumber"/>
      </w:pPr>
      <w:r>
        <w:t>OOP の構造設計観点を扱う新種別 EN（Encapsulation, カプセル化） の提案と5サブタイプの定義</w:t>
      </w:r>
    </w:p>
    <w:p>
      <w:pPr>
        <w:pStyle w:val="ListNumber"/>
      </w:pPr>
      <w:r>
        <w:t>TRM YAML から Sunburst・Sankey・Heatmap・Chord の 4種の図式を自動生成する可視化レイヤ の実装</w:t>
      </w:r>
    </w:p>
    <w:p>
      <w:pPr>
        <w:pStyle w:val="ListNumber"/>
      </w:pPr>
      <w:r>
        <w:t>C++ 手続き型（sakura-editor）と Python OOP（pallets/click）の 2実証による汎用性検証、および既存テストに対する 追加観点検出率 86.7% の定量化</w:t>
      </w:r>
    </w:p>
    <w:p>
      <w:pPr>
        <w:pStyle w:val="ListNumber"/>
      </w:pPr>
      <w:r>
        <w:t>TRM description の 可読性自動分類器 の設計と3対象への適用、可読率のドメイン依存性の実測</w:t>
      </w:r>
    </w:p>
    <w:p>
      <w:pPr>
        <w:pStyle w:val="Heading2"/>
      </w:pPr>
      <w:r>
        <w:t>1.4 本稿の構成</w:t>
      </w:r>
    </w:p>
    <w:p>
      <w:pPr>
        <w:spacing w:after="60" w:line="312" w:lineRule="auto"/>
      </w:pPr>
      <w:r>
        <w:t>§2 で関連研究を概観し、§3 で提案手法を述べる。§4 で実験設計、§5 で評価指標、§6 で結果、§7 で考察、§8 で結論を述べる。付録に用語集と実証対象のメタ情報を示す。</w:t>
      </w:r>
    </w:p>
    <w:p>
      <w:pPr>
        <w:pStyle w:val="Heading1"/>
      </w:pPr>
      <w:r>
        <w:t>2. 関連研究</w:t>
      </w:r>
    </w:p>
    <w:p>
      <w:pPr>
        <w:pStyle w:val="Heading2"/>
      </w:pPr>
      <w:r>
        <w:t>2.1 テスト要求モデル・テスト設計技法</w:t>
      </w:r>
    </w:p>
    <w:p>
      <w:pPr>
        <w:spacing w:after="60" w:line="312" w:lineRule="auto"/>
      </w:pPr>
      <w:r>
        <w:t>ホワイトボックステストの古典として Myers [1] や Beizer [2] の分岐網羅・同値分割・境界値分析の技法が知られ、ISTQB [3] のテスト技法標準にも採用されている。本研究の従来5種別（BR/EC/BV/ER/DP）はこれら古典技法を構造化したものである。しかし、これら古典は関数レベルの動作検証に特化しており、OOP の構造設計観点（継承・多態・カプセル化）は別途扱う必要がある。</w:t>
      </w:r>
    </w:p>
    <w:p>
      <w:pPr>
        <w:pStyle w:val="Heading2"/>
      </w:pPr>
      <w:r>
        <w:t>2.2 LLM を用いたテスト生成</w:t>
      </w:r>
    </w:p>
    <w:p>
      <w:pPr>
        <w:spacing w:after="60" w:line="312" w:lineRule="auto"/>
      </w:pPr>
      <w:r>
        <w:t xml:space="preserve">GPT・Claude 等を用いた自動テスト生成は近年広範に研究されている。CodaMOSA [4] は事前訓練 LLM を用いて Coverage Plateau を脱出する手法を提案し、Schäfer らの実証研究 [5] では複数 LLM によるテスト生成の有効性を比較している。CoverUp [6] はカバレッジ誘導型 LLM テスト生成を実現し、Mathews ら [7] は LLM 生成テストが </w:t>
      </w:r>
      <w:r>
        <w:rPr>
          <w:b/>
        </w:rPr>
        <w:t>バグを発見しにくい設計選択</w:t>
      </w:r>
      <w:r>
        <w:t xml:space="preserve"> をしてしまう傾向を指摘している。テストオラクルに関しても、LLM が </w:t>
      </w:r>
      <w:r>
        <w:rPr>
          <w:b/>
        </w:rPr>
        <w:t>期待すべき動作</w:t>
      </w:r>
      <w:r>
        <w:t xml:space="preserve"> と </w:t>
      </w:r>
      <w:r>
        <w:rPr>
          <w:b/>
        </w:rPr>
        <w:t>実装の動作</w:t>
      </w:r>
      <w:r>
        <w:t xml:space="preserve"> を混同する問題が明らかにされている [8]。Chu らの最近のサーベイ [9] はこの分野の成果と課題を体系化している。本研究の TRM は、</w:t>
      </w:r>
      <w:r>
        <w:rPr>
          <w:b/>
        </w:rPr>
        <w:t>期待値を実装から導出する制約</w:t>
      </w:r>
      <w:r>
        <w:t xml:space="preserve"> を課すことで LLM 推論依存を抑制する中間層として機能する。Multi-Step Generation [10] や TELPA [11]、Static Analysis feedback loop [12] と同様、本研究も </w:t>
      </w:r>
      <w:r>
        <w:rPr>
          <w:b/>
        </w:rPr>
        <w:t>LLM + 静的情報の組み合わせ</w:t>
      </w:r>
      <w:r>
        <w:t xml:space="preserve"> で生成品質を高める系譜に位置する。</w:t>
      </w:r>
    </w:p>
    <w:p>
      <w:pPr>
        <w:pStyle w:val="Heading2"/>
      </w:pPr>
      <w:r>
        <w:t>2.3 OOP 品質メトリクス</w:t>
      </w:r>
    </w:p>
    <w:p>
      <w:pPr>
        <w:spacing w:after="60" w:line="312" w:lineRule="auto"/>
      </w:pPr>
      <w:r>
        <w:t xml:space="preserve">McCabe 循環的複雑度 [13] や CK メトリクス（Coupling・Cohesion 等）[14] は OOP 品質を定量化する手法として確立されている。また、Gamma らのデザインパターン [15] や Fowler のリファクタリングカタログ [16] は構造設計の良し悪しを記述する用語を提供する。本研究の CI/SV/CP/EN 種別は、これら既存概念を </w:t>
      </w:r>
      <w:r>
        <w:rPr>
          <w:b/>
        </w:rPr>
        <w:t>テスト要求として操作可能な形</w:t>
      </w:r>
      <w:r>
        <w:t xml:space="preserve"> に再定式化したものである。特に EN（カプセル化）は CK メトリクスの結合度・凝集度に近い関心を、動的テストで検証可能な観点に翻訳している点で新規性を持つ。</w:t>
      </w:r>
    </w:p>
    <w:p>
      <w:pPr>
        <w:pStyle w:val="Heading2"/>
      </w:pPr>
      <w:r>
        <w:t>2.4 品質情報の非エンジニア共有</w:t>
      </w:r>
    </w:p>
    <w:p>
      <w:pPr>
        <w:spacing w:after="60" w:line="312" w:lineRule="auto"/>
      </w:pPr>
      <w:r>
        <w:t>BDD の Given-When-Then 構文 [17] や Adzic の Specification by Example [18] は、要求・テスト・ドキュメントを統一フォーマットで記述する手法として確立されている。Domain-Driven Design [19] の Ubiquitous Language と Brandolini の Event Storming [20] は、ドメイン知識と実装の間を橋渡しする。Wiecher ら [21] は自動車分野でモデルベースで要求とテストを接続する研究を示している。情報可視化の分野では Tufte [22]・Few [23]・Munzner [24] が視覚的情報伝達の原則を体系化しており、本研究の可視化レイヤはこれらの知見（3次元忌避・小さな多数・色彩意味論）を踏まえて設計されている。</w:t>
      </w:r>
    </w:p>
    <w:p>
      <w:pPr>
        <w:pStyle w:val="Heading2"/>
      </w:pPr>
      <w:r>
        <w:t>2.5 本研究の位置づけ</w:t>
      </w:r>
    </w:p>
    <w:p>
      <w:pPr>
        <w:spacing w:after="60" w:line="312" w:lineRule="auto"/>
      </w:pPr>
      <w:r>
        <w:t>既存の LLM テスト生成研究 [4-12] は「動作の正しさ」の生成に特化し、OOP 品質メトリクス [13-16] は静的な構造評価に留まり、BDD/DDD [17-20] は要求の構造化のみを扱う。本研究はこれらを統合し、</w:t>
      </w:r>
      <w:r>
        <w:rPr>
          <w:b/>
        </w:rPr>
        <w:t>コードから構造設計観点を含むテスト要求を導出し、さらに非エンジニア向けの可視化レイヤで橋渡しする</w:t>
      </w:r>
      <w:r>
        <w:t xml:space="preserve"> 一貫したパイプラインを提案する点で新規性がある。特に EN 種別は既存研究に直接的な対応物を持たず、本研究の独自貢献に該当する。日本のソフトウェア品質コミュニティにおける近縁研究 [27-30] とも補完的な関係にある。</w:t>
      </w:r>
    </w:p>
    <w:p>
      <w:pPr>
        <w:pStyle w:val="Heading1"/>
      </w:pPr>
      <w:r>
        <w:t>3. 提案手法</w:t>
      </w:r>
    </w:p>
    <w:p>
      <w:pPr>
        <w:pStyle w:val="Heading2"/>
      </w:pPr>
      <w:r>
        <w:t>3.1 手法の全体像</w:t>
      </w:r>
    </w:p>
    <w:p>
      <w:pPr>
        <w:spacing w:after="60" w:line="312" w:lineRule="auto"/>
      </w:pPr>
      <w:r>
        <w:t>提案手法は、GitHub 上で公開されているリポジトリ URL を入力として、次の段階を逐次実行する:</w:t>
      </w:r>
    </w:p>
    <w:p>
      <w:pPr>
        <w:pStyle w:val="ListNumber"/>
      </w:pPr>
      <w:r>
        <w:t>リポジトリ解析（analyze）: テスト対象の選定、関数・クラス構造の抽出、OOP 要素の検出</w:t>
      </w:r>
    </w:p>
    <w:p>
      <w:pPr>
        <w:pStyle w:val="ListNumber"/>
      </w:pPr>
      <w:r>
        <w:t>TRM 生成（generate-trm）: 8種別のテスト要求を YAML 形式で導出</w:t>
      </w:r>
    </w:p>
    <w:p>
      <w:pPr>
        <w:pStyle w:val="ListNumber"/>
      </w:pPr>
      <w:r>
        <w:t>網羅性監査（audit-trm）: 漏れの検出と追加要求の導出</w:t>
      </w:r>
    </w:p>
    <w:p>
      <w:pPr>
        <w:pStyle w:val="ListNumber"/>
      </w:pPr>
      <w:r>
        <w:t>テスト生成（generate-tests）: 対象言語のテストフレームワークに準拠したコード生成</w:t>
      </w:r>
    </w:p>
    <w:p>
      <w:pPr>
        <w:pStyle w:val="ListNumber"/>
      </w:pPr>
      <w:r>
        <w:t>可視化生成（generate-visualizations）: TRM YAML を入力として4種の図式を自動出力</w:t>
      </w:r>
    </w:p>
    <w:p>
      <w:pPr>
        <w:spacing w:after="60" w:line="312" w:lineRule="auto"/>
      </w:pPr>
      <w:r>
        <w:t>各段階は独立したエージェント（コマンド定義）として実装され、Claude Code プラットフォーム上で逐次実行される。対応言語は C++・Python・Java・TypeScript・Go・Rust の6言語である。パイプライン全体の関係を</w:t>
      </w:r>
      <w:r>
        <w:rPr>
          <w:b/>
        </w:rPr>
        <w:t>図 3.1</w:t>
      </w:r>
      <w:r>
        <w:t xml:space="preserve"> に示す。</w:t>
      </w:r>
    </w:p>
    <w:p>
      <w:pPr>
        <w:pStyle w:val="Heading2"/>
      </w:pPr>
      <w:r>
        <w:t>3.2 TRM v3.1 スキーマ</w:t>
      </w:r>
    </w:p>
    <w:p>
      <w:pPr>
        <w:spacing w:after="60" w:line="312" w:lineRule="auto"/>
      </w:pPr>
      <w:r>
        <w:t>TRM は対象関数・メソッドを「ターゲット」として列挙し、各ターゲットに対して以下のテスト要求を付与する YAML 構造である。</w:t>
      </w:r>
    </w:p>
    <w:p>
      <w:pPr>
        <w:spacing w:after="60" w:line="312" w:lineRule="auto"/>
      </w:pPr>
      <w:r>
        <w:rPr>
          <w:b/>
        </w:rPr>
        <w:t>従来5種別（関数レベル）:</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種別</w:t>
            </w:r>
          </w:p>
        </w:tc>
        <w:tc>
          <w:tcPr>
            <w:tcW w:type="dxa" w:w="3324"/>
          </w:tcPr>
          <w:p>
            <w:r>
              <w:rPr>
                <w:b/>
                <w:sz w:val="18"/>
              </w:rPr>
              <w:t>記号</w:t>
            </w:r>
          </w:p>
        </w:tc>
        <w:tc>
          <w:tcPr>
            <w:tcW w:type="dxa" w:w="3324"/>
          </w:tcPr>
          <w:p>
            <w:r>
              <w:rPr>
                <w:b/>
                <w:sz w:val="18"/>
              </w:rPr>
              <w:t>導出方法</w:t>
            </w:r>
          </w:p>
        </w:tc>
      </w:tr>
      <w:tr>
        <w:tc>
          <w:tcPr>
            <w:tcW w:type="dxa" w:w="3324"/>
          </w:tcPr>
          <w:p>
            <w:r>
              <w:rPr>
                <w:sz w:val="18"/>
              </w:rPr>
              <w:t>分岐網羅</w:t>
            </w:r>
          </w:p>
        </w:tc>
        <w:tc>
          <w:tcPr>
            <w:tcW w:type="dxa" w:w="3324"/>
          </w:tcPr>
          <w:p>
            <w:r>
              <w:rPr>
                <w:sz w:val="18"/>
              </w:rPr>
              <w:t>BR</w:t>
            </w:r>
          </w:p>
        </w:tc>
        <w:tc>
          <w:tcPr>
            <w:tcW w:type="dxa" w:w="3324"/>
          </w:tcPr>
          <w:p>
            <w:r>
              <w:rPr>
                <w:sz w:val="18"/>
              </w:rPr>
              <w:t>if/else/switch/三項演算子の各パスを1要求とする</w:t>
            </w:r>
          </w:p>
        </w:tc>
      </w:tr>
      <w:tr>
        <w:tc>
          <w:tcPr>
            <w:tcW w:type="dxa" w:w="3324"/>
          </w:tcPr>
          <w:p>
            <w:r>
              <w:rPr>
                <w:sz w:val="18"/>
              </w:rPr>
              <w:t>同値クラス</w:t>
            </w:r>
          </w:p>
        </w:tc>
        <w:tc>
          <w:tcPr>
            <w:tcW w:type="dxa" w:w="3324"/>
          </w:tcPr>
          <w:p>
            <w:r>
              <w:rPr>
                <w:sz w:val="18"/>
              </w:rPr>
              <w:t>EC</w:t>
            </w:r>
          </w:p>
        </w:tc>
        <w:tc>
          <w:tcPr>
            <w:tcW w:type="dxa" w:w="3324"/>
          </w:tcPr>
          <w:p>
            <w:r>
              <w:rPr>
                <w:sz w:val="18"/>
              </w:rPr>
              <w:t>入力パラメータの値域を同値分割し各クラスを1要求とする</w:t>
            </w:r>
          </w:p>
        </w:tc>
      </w:tr>
      <w:tr>
        <w:tc>
          <w:tcPr>
            <w:tcW w:type="dxa" w:w="3324"/>
          </w:tcPr>
          <w:p>
            <w:r>
              <w:rPr>
                <w:sz w:val="18"/>
              </w:rPr>
              <w:t>境界値</w:t>
            </w:r>
          </w:p>
        </w:tc>
        <w:tc>
          <w:tcPr>
            <w:tcW w:type="dxa" w:w="3324"/>
          </w:tcPr>
          <w:p>
            <w:r>
              <w:rPr>
                <w:sz w:val="18"/>
              </w:rPr>
              <w:t>BV</w:t>
            </w:r>
          </w:p>
        </w:tc>
        <w:tc>
          <w:tcPr>
            <w:tcW w:type="dxa" w:w="3324"/>
          </w:tcPr>
          <w:p>
            <w:r>
              <w:rPr>
                <w:sz w:val="18"/>
              </w:rPr>
              <w:t>各同値クラスの境界（上限・下限±1）を1要求とする</w:t>
            </w:r>
          </w:p>
        </w:tc>
      </w:tr>
      <w:tr>
        <w:tc>
          <w:tcPr>
            <w:tcW w:type="dxa" w:w="3324"/>
          </w:tcPr>
          <w:p>
            <w:r>
              <w:rPr>
                <w:sz w:val="18"/>
              </w:rPr>
              <w:t>エラーパス</w:t>
            </w:r>
          </w:p>
        </w:tc>
        <w:tc>
          <w:tcPr>
            <w:tcW w:type="dxa" w:w="3324"/>
          </w:tcPr>
          <w:p>
            <w:r>
              <w:rPr>
                <w:sz w:val="18"/>
              </w:rPr>
              <w:t>ER</w:t>
            </w:r>
          </w:p>
        </w:tc>
        <w:tc>
          <w:tcPr>
            <w:tcW w:type="dxa" w:w="3324"/>
          </w:tcPr>
          <w:p>
            <w:r>
              <w:rPr>
                <w:sz w:val="18"/>
              </w:rPr>
              <w:t>例外・早期リターン・ガード条件を1要求とする</w:t>
            </w:r>
          </w:p>
        </w:tc>
      </w:tr>
      <w:tr>
        <w:tc>
          <w:tcPr>
            <w:tcW w:type="dxa" w:w="3324"/>
          </w:tcPr>
          <w:p>
            <w:r>
              <w:rPr>
                <w:sz w:val="18"/>
              </w:rPr>
              <w:t>依存切替</w:t>
            </w:r>
          </w:p>
        </w:tc>
        <w:tc>
          <w:tcPr>
            <w:tcW w:type="dxa" w:w="3324"/>
          </w:tcPr>
          <w:p>
            <w:r>
              <w:rPr>
                <w:sz w:val="18"/>
              </w:rPr>
              <w:t>DP</w:t>
            </w:r>
          </w:p>
        </w:tc>
        <w:tc>
          <w:tcPr>
            <w:tcW w:type="dxa" w:w="3324"/>
          </w:tcPr>
          <w:p>
            <w:r>
              <w:rPr>
                <w:sz w:val="18"/>
              </w:rPr>
              <w:t>関数間の呼び出し関係・差異・ラウンドトリップを1要求とする</w:t>
            </w:r>
          </w:p>
        </w:tc>
      </w:tr>
    </w:tbl>
    <w:p>
      <w:pPr>
        <w:spacing w:after="60" w:line="312" w:lineRule="auto"/>
      </w:pPr>
      <w:r>
        <w:rPr>
          <w:b/>
        </w:rPr>
        <w:t>OOP 拡張3種別（v3.0 で追加）:</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種別</w:t>
            </w:r>
          </w:p>
        </w:tc>
        <w:tc>
          <w:tcPr>
            <w:tcW w:type="dxa" w:w="3324"/>
          </w:tcPr>
          <w:p>
            <w:r>
              <w:rPr>
                <w:b/>
                <w:sz w:val="18"/>
              </w:rPr>
              <w:t>記号</w:t>
            </w:r>
          </w:p>
        </w:tc>
        <w:tc>
          <w:tcPr>
            <w:tcW w:type="dxa" w:w="3324"/>
          </w:tcPr>
          <w:p>
            <w:r>
              <w:rPr>
                <w:b/>
                <w:sz w:val="18"/>
              </w:rPr>
              <w:t>検証対象</w:t>
            </w:r>
          </w:p>
        </w:tc>
      </w:tr>
      <w:tr>
        <w:tc>
          <w:tcPr>
            <w:tcW w:type="dxa" w:w="3324"/>
          </w:tcPr>
          <w:p>
            <w:r>
              <w:rPr>
                <w:sz w:val="18"/>
              </w:rPr>
              <w:t>クラス継承</w:t>
            </w:r>
          </w:p>
        </w:tc>
        <w:tc>
          <w:tcPr>
            <w:tcW w:type="dxa" w:w="3324"/>
          </w:tcPr>
          <w:p>
            <w:r>
              <w:rPr>
                <w:sz w:val="18"/>
              </w:rPr>
              <w:t>CI</w:t>
            </w:r>
          </w:p>
        </w:tc>
        <w:tc>
          <w:tcPr>
            <w:tcW w:type="dxa" w:w="3324"/>
          </w:tcPr>
          <w:p>
            <w:r>
              <w:rPr>
                <w:sz w:val="18"/>
              </w:rPr>
              <w:t>多態性・オーバーライド・リスコフ置換・抽象実装・super 委譲</w:t>
            </w:r>
          </w:p>
        </w:tc>
      </w:tr>
      <w:tr>
        <w:tc>
          <w:tcPr>
            <w:tcW w:type="dxa" w:w="3324"/>
          </w:tcPr>
          <w:p>
            <w:r>
              <w:rPr>
                <w:sz w:val="18"/>
              </w:rPr>
              <w:t>状態変数</w:t>
            </w:r>
          </w:p>
        </w:tc>
        <w:tc>
          <w:tcPr>
            <w:tcW w:type="dxa" w:w="3324"/>
          </w:tcPr>
          <w:p>
            <w:r>
              <w:rPr>
                <w:sz w:val="18"/>
              </w:rPr>
              <w:t>SV</w:t>
            </w:r>
          </w:p>
        </w:tc>
        <w:tc>
          <w:tcPr>
            <w:tcW w:type="dxa" w:w="3324"/>
          </w:tcPr>
          <w:p>
            <w:r>
              <w:rPr>
                <w:sz w:val="18"/>
              </w:rPr>
              <w:t>初期化・変異シーケンス・不変条件・状態依存動作・ライフサイクル</w:t>
            </w:r>
          </w:p>
        </w:tc>
      </w:tr>
      <w:tr>
        <w:tc>
          <w:tcPr>
            <w:tcW w:type="dxa" w:w="3324"/>
          </w:tcPr>
          <w:p>
            <w:r>
              <w:rPr>
                <w:sz w:val="18"/>
              </w:rPr>
              <w:t>コードパターン</w:t>
            </w:r>
          </w:p>
        </w:tc>
        <w:tc>
          <w:tcPr>
            <w:tcW w:type="dxa" w:w="3324"/>
          </w:tcPr>
          <w:p>
            <w:r>
              <w:rPr>
                <w:sz w:val="18"/>
              </w:rPr>
              <w:t>CP</w:t>
            </w:r>
          </w:p>
        </w:tc>
        <w:tc>
          <w:tcPr>
            <w:tcW w:type="dxa" w:w="3324"/>
          </w:tcPr>
          <w:p>
            <w:r>
              <w:rPr>
                <w:sz w:val="18"/>
              </w:rPr>
              <w:t>デザインパターン適合・イディオム正当性・リソース管理・マクロ展開</w:t>
            </w:r>
          </w:p>
        </w:tc>
      </w:tr>
    </w:tbl>
    <w:p>
      <w:pPr>
        <w:spacing w:after="60" w:line="312" w:lineRule="auto"/>
      </w:pPr>
      <w:r>
        <w:rPr>
          <w:b/>
        </w:rPr>
        <w:t>カプセル化種別（v3.1 で新設）</w:t>
      </w:r>
      <w:r>
        <w:t>: §3.3 で詳述。</w:t>
      </w:r>
    </w:p>
    <w:p>
      <w:pPr>
        <w:pStyle w:val="Heading2"/>
      </w:pPr>
      <w:r>
        <w:t>3.3 EN（Encapsulation）種別の設計</w:t>
      </w:r>
    </w:p>
    <w:p>
      <w:pPr>
        <w:spacing w:after="60" w:line="312" w:lineRule="auto"/>
      </w:pPr>
      <w:r>
        <w:t xml:space="preserve">v3.0 までの CI/SV/CP は </w:t>
      </w:r>
      <w:r>
        <w:rPr>
          <w:b/>
        </w:rPr>
        <w:t>動作の正しさ</w:t>
      </w:r>
      <w:r>
        <w:t xml:space="preserve"> を検証する性格が強く、メンバの可視性や構築契約、不変性宣言といった </w:t>
      </w:r>
      <w:r>
        <w:rPr>
          <w:b/>
        </w:rPr>
        <w:t>構造設計の妥当性</w:t>
      </w:r>
      <w:r>
        <w:t xml:space="preserve"> を明示的に扱うサブタイプが不足していた。v3.1 ではこの欠落を補うべく、EN 種別を以下5サブタイプで設計した:</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サブタイプ</w:t>
            </w:r>
          </w:p>
        </w:tc>
        <w:tc>
          <w:tcPr>
            <w:tcW w:type="dxa" w:w="4986"/>
          </w:tcPr>
          <w:p>
            <w:r>
              <w:rPr>
                <w:b/>
                <w:sz w:val="18"/>
              </w:rPr>
              <w:t>検証対象</w:t>
            </w:r>
          </w:p>
        </w:tc>
      </w:tr>
      <w:tr>
        <w:tc>
          <w:tcPr>
            <w:tcW w:type="dxa" w:w="4986"/>
          </w:tcPr>
          <w:p>
            <w:r>
              <w:rPr>
                <w:sz w:val="18"/>
              </w:rPr>
              <w:t>access_control_correctness</w:t>
            </w:r>
          </w:p>
        </w:tc>
        <w:tc>
          <w:tcPr>
            <w:tcW w:type="dxa" w:w="4986"/>
          </w:tcPr>
          <w:p>
            <w:r>
              <w:rPr>
                <w:sz w:val="18"/>
              </w:rPr>
              <w:t>メンバ可視性（public/protected/private）の責務合致</w:t>
            </w:r>
          </w:p>
        </w:tc>
      </w:tr>
      <w:tr>
        <w:tc>
          <w:tcPr>
            <w:tcW w:type="dxa" w:w="4986"/>
          </w:tcPr>
          <w:p>
            <w:r>
              <w:rPr>
                <w:sz w:val="18"/>
              </w:rPr>
              <w:t>leaky_accessor</w:t>
            </w:r>
          </w:p>
        </w:tc>
        <w:tc>
          <w:tcPr>
            <w:tcW w:type="dxa" w:w="4986"/>
          </w:tcPr>
          <w:p>
            <w:r>
              <w:rPr>
                <w:sz w:val="18"/>
              </w:rPr>
              <w:t>getter/setter による内部可変状態の漏洩</w:t>
            </w:r>
          </w:p>
        </w:tc>
      </w:tr>
      <w:tr>
        <w:tc>
          <w:tcPr>
            <w:tcW w:type="dxa" w:w="4986"/>
          </w:tcPr>
          <w:p>
            <w:r>
              <w:rPr>
                <w:sz w:val="18"/>
              </w:rPr>
              <w:t>mutability_contract</w:t>
            </w:r>
          </w:p>
        </w:tc>
        <w:tc>
          <w:tcPr>
            <w:tcW w:type="dxa" w:w="4986"/>
          </w:tcPr>
          <w:p>
            <w:r>
              <w:rPr>
                <w:sz w:val="18"/>
              </w:rPr>
              <w:t>final/const/readonly 宣言の整合性</w:t>
            </w:r>
          </w:p>
        </w:tc>
      </w:tr>
      <w:tr>
        <w:tc>
          <w:tcPr>
            <w:tcW w:type="dxa" w:w="4986"/>
          </w:tcPr>
          <w:p>
            <w:r>
              <w:rPr>
                <w:sz w:val="18"/>
              </w:rPr>
              <w:t>construction_contract</w:t>
            </w:r>
          </w:p>
        </w:tc>
        <w:tc>
          <w:tcPr>
            <w:tcW w:type="dxa" w:w="4986"/>
          </w:tcPr>
          <w:p>
            <w:r>
              <w:rPr>
                <w:sz w:val="18"/>
              </w:rPr>
              <w:t>コンストラクタでの必須フィールド初期化</w:t>
            </w:r>
          </w:p>
        </w:tc>
      </w:tr>
      <w:tr>
        <w:tc>
          <w:tcPr>
            <w:tcW w:type="dxa" w:w="4986"/>
          </w:tcPr>
          <w:p>
            <w:r>
              <w:rPr>
                <w:sz w:val="18"/>
              </w:rPr>
              <w:t>invariant_surface</w:t>
            </w:r>
          </w:p>
        </w:tc>
        <w:tc>
          <w:tcPr>
            <w:tcW w:type="dxa" w:w="4986"/>
          </w:tcPr>
          <w:p>
            <w:r>
              <w:rPr>
                <w:sz w:val="18"/>
              </w:rPr>
              <w:t>public 境界でのクラス不変条件維持</w:t>
            </w:r>
          </w:p>
        </w:tc>
      </w:tr>
    </w:tbl>
    <w:p>
      <w:pPr>
        <w:spacing w:after="60" w:line="312" w:lineRule="auto"/>
      </w:pPr>
      <w:r>
        <w:rPr>
          <w:b/>
        </w:rPr>
        <w:t>EN が既存種別で扱えなかった観点を補う代表例を以下に示す:</w:t>
      </w:r>
    </w:p>
    <w:p>
      <w:pPr>
        <w:pStyle w:val="ListBullet"/>
      </w:pPr>
      <w:r>
        <w:t>Choice.choices の public mutable 問題（pallets/click）: SV の invariant_maintenance で近似できるが、EN の access_control_correctness の方が「外部から再代入可能かどうか」を直接的に検証できる。</w:t>
      </w:r>
    </w:p>
    <w:p>
      <w:pPr>
        <w:pStyle w:val="ListBullet"/>
      </w:pPr>
      <w:r>
        <w:t>_NumberParamTypeBase._number_class の派生設定契約: CI の abstract_coverage で継承契約として扱えるが、EN の construction_contract の方が「派生クラスが未設定のとき AttributeError が発生する」ことを明示化できる。</w:t>
      </w:r>
    </w:p>
    <w:p>
      <w:pPr>
        <w:pStyle w:val="ListBullet"/>
      </w:pPr>
      <w:r>
        <w:t>IntRange の min &gt; max を許容する設計: CI/SV ともに直接の表現がなく、EN の invariant_surface が唯一の足場となる。</w:t>
      </w:r>
    </w:p>
    <w:p>
      <w:pPr>
        <w:spacing w:after="60" w:line="312" w:lineRule="auto"/>
      </w:pPr>
      <w:r>
        <w:t>EN は既存種別と排他的ではなく、</w:t>
      </w:r>
      <w:r>
        <w:rPr>
          <w:b/>
        </w:rPr>
        <w:t>同じ観点を異なる抽象度で捉える補助軸</w:t>
      </w:r>
      <w:r>
        <w:t xml:space="preserve"> として機能する。</w:t>
      </w:r>
    </w:p>
    <w:p>
      <w:pPr>
        <w:pStyle w:val="Heading2"/>
      </w:pPr>
      <w:r>
        <w:t>3.4 可視化レイヤ</w:t>
      </w:r>
    </w:p>
    <w:p>
      <w:pPr>
        <w:spacing w:after="60" w:line="312" w:lineRule="auto"/>
      </w:pPr>
      <w:r>
        <w:t>TRM YAML を入力として、</w:t>
      </w:r>
      <w:r>
        <w:rPr>
          <w:b/>
        </w:rPr>
        <w:t>エンジニア向け4種図</w:t>
      </w:r>
      <w:r>
        <w:t xml:space="preserve"> と </w:t>
      </w:r>
      <w:r>
        <w:rPr>
          <w:b/>
        </w:rPr>
        <w:t>非エンジニア向け機能分類ジオラマ</w:t>
      </w:r>
      <w:r>
        <w:t xml:space="preserve">、さらに </w:t>
      </w:r>
      <w:r>
        <w:rPr>
          <w:b/>
        </w:rPr>
        <w:t>論文主張ダッシュボード3パネル</w:t>
      </w:r>
      <w:r>
        <w:t xml:space="preserve"> を自動生成するパイプラインを実装した。</w:t>
      </w:r>
    </w:p>
    <w:p>
      <w:pPr>
        <w:pStyle w:val="Heading3"/>
      </w:pPr>
      <w:r>
        <w:t>3.4.1 エンジニア向け4種図</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8"/>
              </w:rPr>
              <w:t>手法</w:t>
            </w:r>
          </w:p>
        </w:tc>
        <w:tc>
          <w:tcPr>
            <w:tcW w:type="dxa" w:w="2493"/>
          </w:tcPr>
          <w:p>
            <w:r>
              <w:rPr>
                <w:b/>
                <w:sz w:val="18"/>
              </w:rPr>
              <w:t>目的</w:t>
            </w:r>
          </w:p>
        </w:tc>
        <w:tc>
          <w:tcPr>
            <w:tcW w:type="dxa" w:w="2493"/>
          </w:tcPr>
          <w:p>
            <w:r>
              <w:rPr>
                <w:b/>
                <w:sz w:val="18"/>
              </w:rPr>
              <w:t>実装</w:t>
            </w:r>
          </w:p>
        </w:tc>
        <w:tc>
          <w:tcPr>
            <w:tcW w:type="dxa" w:w="2493"/>
          </w:tcPr>
          <w:p>
            <w:r>
              <w:rPr>
                <w:b/>
                <w:sz w:val="18"/>
              </w:rPr>
              <w:t>手続き型対象の代替</w:t>
            </w:r>
          </w:p>
        </w:tc>
      </w:tr>
      <w:tr>
        <w:tc>
          <w:tcPr>
            <w:tcW w:type="dxa" w:w="2493"/>
          </w:tcPr>
          <w:p>
            <w:r>
              <w:rPr>
                <w:sz w:val="18"/>
              </w:rPr>
              <w:t>Sunburst</w:t>
            </w:r>
          </w:p>
        </w:tc>
        <w:tc>
          <w:tcPr>
            <w:tcW w:type="dxa" w:w="2493"/>
          </w:tcPr>
          <w:p>
            <w:r>
              <w:rPr>
                <w:sz w:val="18"/>
              </w:rPr>
              <w:t>要求の種別別階層の俯瞰</w:t>
            </w:r>
          </w:p>
        </w:tc>
        <w:tc>
          <w:tcPr>
            <w:tcW w:type="dxa" w:w="2493"/>
          </w:tcPr>
          <w:p>
            <w:r>
              <w:rPr>
                <w:sz w:val="18"/>
              </w:rPr>
              <w:t>matplotlib 入れ子パイ</w:t>
            </w:r>
          </w:p>
        </w:tc>
        <w:tc>
          <w:tcPr>
            <w:tcW w:type="dxa" w:w="2493"/>
          </w:tcPr>
          <w:p>
            <w:r>
              <w:rPr>
                <w:sz w:val="18"/>
              </w:rPr>
              <w:t>同左</w:t>
            </w:r>
          </w:p>
        </w:tc>
      </w:tr>
      <w:tr>
        <w:tc>
          <w:tcPr>
            <w:tcW w:type="dxa" w:w="2493"/>
          </w:tcPr>
          <w:p>
            <w:r>
              <w:rPr>
                <w:sz w:val="18"/>
              </w:rPr>
              <w:t>Sankey</w:t>
            </w:r>
          </w:p>
        </w:tc>
        <w:tc>
          <w:tcPr>
            <w:tcW w:type="dxa" w:w="2493"/>
          </w:tcPr>
          <w:p>
            <w:r>
              <w:rPr>
                <w:sz w:val="18"/>
              </w:rPr>
              <w:t>種別 × 優先度の流量</w:t>
            </w:r>
          </w:p>
        </w:tc>
        <w:tc>
          <w:tcPr>
            <w:tcW w:type="dxa" w:w="2493"/>
          </w:tcPr>
          <w:p>
            <w:r>
              <w:rPr>
                <w:sz w:val="18"/>
              </w:rPr>
              <w:t>matplotlib 横積みバー</w:t>
            </w:r>
          </w:p>
        </w:tc>
        <w:tc>
          <w:tcPr>
            <w:tcW w:type="dxa" w:w="2493"/>
          </w:tcPr>
          <w:p>
            <w:r>
              <w:rPr>
                <w:sz w:val="18"/>
              </w:rPr>
              <w:t>同左</w:t>
            </w:r>
          </w:p>
        </w:tc>
      </w:tr>
      <w:tr>
        <w:tc>
          <w:tcPr>
            <w:tcW w:type="dxa" w:w="2493"/>
          </w:tcPr>
          <w:p>
            <w:r>
              <w:rPr>
                <w:sz w:val="18"/>
              </w:rPr>
              <w:t>Heatmap</w:t>
            </w:r>
          </w:p>
        </w:tc>
        <w:tc>
          <w:tcPr>
            <w:tcW w:type="dxa" w:w="2493"/>
          </w:tcPr>
          <w:p>
            <w:r>
              <w:rPr>
                <w:sz w:val="18"/>
              </w:rPr>
              <w:t>状態変数 × カプセル化リスク（OOP）</w:t>
            </w:r>
          </w:p>
        </w:tc>
        <w:tc>
          <w:tcPr>
            <w:tcW w:type="dxa" w:w="2493"/>
          </w:tcPr>
          <w:p>
            <w:r>
              <w:rPr>
                <w:sz w:val="18"/>
              </w:rPr>
              <w:t>matplotlib imshow</w:t>
            </w:r>
          </w:p>
        </w:tc>
        <w:tc>
          <w:tcPr>
            <w:tcW w:type="dxa" w:w="2493"/>
          </w:tcPr>
          <w:p>
            <w:r>
              <w:rPr>
                <w:sz w:val="18"/>
              </w:rPr>
              <w:t>要求種別 × 優先度</w:t>
            </w:r>
          </w:p>
        </w:tc>
      </w:tr>
      <w:tr>
        <w:tc>
          <w:tcPr>
            <w:tcW w:type="dxa" w:w="2493"/>
          </w:tcPr>
          <w:p>
            <w:r>
              <w:rPr>
                <w:sz w:val="18"/>
              </w:rPr>
              <w:t>Chord</w:t>
            </w:r>
          </w:p>
        </w:tc>
        <w:tc>
          <w:tcPr>
            <w:tcW w:type="dxa" w:w="2493"/>
          </w:tcPr>
          <w:p>
            <w:r>
              <w:rPr>
                <w:sz w:val="18"/>
              </w:rPr>
              <w:t>状態変数とリスクの円環配置（OOP）</w:t>
            </w:r>
          </w:p>
        </w:tc>
        <w:tc>
          <w:tcPr>
            <w:tcW w:type="dxa" w:w="2493"/>
          </w:tcPr>
          <w:p>
            <w:r>
              <w:rPr>
                <w:sz w:val="18"/>
              </w:rPr>
              <w:t>matplotlib 2D グラフ</w:t>
            </w:r>
          </w:p>
        </w:tc>
        <w:tc>
          <w:tcPr>
            <w:tcW w:type="dxa" w:w="2493"/>
          </w:tcPr>
          <w:p>
            <w:r>
              <w:rPr>
                <w:sz w:val="18"/>
              </w:rPr>
              <w:t>依存関係マップ</w:t>
            </w:r>
          </w:p>
        </w:tc>
      </w:tr>
    </w:tbl>
    <w:p>
      <w:pPr>
        <w:spacing w:after="60" w:line="312" w:lineRule="auto"/>
      </w:pPr>
      <w:r>
        <w:t xml:space="preserve">4図は </w:t>
      </w:r>
      <w:r>
        <w:rPr>
          <w:b/>
        </w:rPr>
        <w:t>全体俯瞰 → 流量理解 → 複合影響の定量 → 禁忌組合せの強調</w:t>
      </w:r>
      <w:r>
        <w:t xml:space="preserve"> の段階的情報開示を形成する。手続き型・関数型対象では Heatmap/Chord が代替表示に切り替わり、空白ページにならない設計とした。</w:t>
      </w:r>
    </w:p>
    <w:p>
      <w:pPr>
        <w:pStyle w:val="Heading3"/>
      </w:pPr>
      <w:r>
        <w:t>3.4.2 非エンジニア向け機能分類ジオラマ</w:t>
      </w:r>
    </w:p>
    <w:p>
      <w:pPr>
        <w:spacing w:after="60" w:line="312" w:lineRule="auto"/>
      </w:pPr>
      <w:r>
        <w:t>4種図は要求IDや変数名など実装用語が前面に出るため、</w:t>
      </w:r>
      <w:r>
        <w:rPr>
          <w:b/>
        </w:rPr>
        <w:t>非エンジニアへは到達しにくい</w:t>
      </w:r>
      <w:r>
        <w:t>。この課題に対処し、テスト設計書の機能ツリーの考え方に沿って、対象を以下の3層で立体的に表現する機能分類ジオラマを追加で提案する:</w:t>
      </w:r>
    </w:p>
    <w:p>
      <w:pPr>
        <w:pStyle w:val="ListBullet"/>
      </w:pPr>
      <w:r>
        <w:t>目的・対象層（Z=0, 手前）: 関数/クラスの目的・扱う情報</w:t>
      </w:r>
    </w:p>
    <w:p>
      <w:pPr>
        <w:pStyle w:val="ListBullet"/>
      </w:pPr>
      <w:r>
        <w:t>機能分類層（Z=1, 中段）: 業務的なグルーピング（例: 「範囲内判定 (min ≤ 値 ≤ max)」）</w:t>
      </w:r>
    </w:p>
    <w:p>
      <w:pPr>
        <w:pStyle w:val="ListBullet"/>
      </w:pPr>
      <w:r>
        <w:t>テスト観点層（Z=2, 奥）: 正常系・異常系・境界値・エラー処理・連携動作</w:t>
      </w:r>
    </w:p>
    <w:p>
      <w:pPr>
        <w:spacing w:after="60" w:line="312" w:lineRule="auto"/>
      </w:pPr>
      <w:r>
        <w:t xml:space="preserve">各層は半透明プレーンで表現し、層間は色分けされた連結線で結ぶ。ラベルは </w:t>
      </w:r>
      <w:r>
        <w:rPr>
          <w:b/>
        </w:rPr>
        <w:t>抽象名＋具体的な検証内容</w:t>
      </w:r>
      <w:r>
        <w:t xml:space="preserve"> の2段表記とし、実装用語（変数名・ID・英語技術語彙）を排除して非エンジニアへの伝達性を確保する。</w:t>
      </w:r>
    </w:p>
    <w:p>
      <w:pPr>
        <w:pStyle w:val="Heading3"/>
      </w:pPr>
      <w:r>
        <w:t>3.4.3 論文主張ダッシュボード</w:t>
      </w:r>
    </w:p>
    <w:p>
      <w:pPr>
        <w:spacing w:after="60" w:line="312" w:lineRule="auto"/>
      </w:pPr>
      <w:r>
        <w:t>機能分類ジオラマと同一ページに、本論文の主要主張と1対1対応する評価ダッシュボード3パネルを配置する:</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パネル</w:t>
            </w:r>
          </w:p>
        </w:tc>
        <w:tc>
          <w:tcPr>
            <w:tcW w:type="dxa" w:w="3324"/>
          </w:tcPr>
          <w:p>
            <w:r>
              <w:rPr>
                <w:b/>
                <w:sz w:val="18"/>
              </w:rPr>
              <w:t>伝える情報</w:t>
            </w:r>
          </w:p>
        </w:tc>
        <w:tc>
          <w:tcPr>
            <w:tcW w:type="dxa" w:w="3324"/>
          </w:tcPr>
          <w:p>
            <w:r>
              <w:rPr>
                <w:b/>
                <w:sz w:val="18"/>
              </w:rPr>
              <w:t>対応主張</w:t>
            </w:r>
          </w:p>
        </w:tc>
      </w:tr>
      <w:tr>
        <w:tc>
          <w:tcPr>
            <w:tcW w:type="dxa" w:w="3324"/>
          </w:tcPr>
          <w:p>
            <w:r>
              <w:rPr>
                <w:sz w:val="18"/>
              </w:rPr>
              <w:t>① 既存テスト補完効果</w:t>
            </w:r>
          </w:p>
        </w:tc>
        <w:tc>
          <w:tcPr>
            <w:tcW w:type="dxa" w:w="3324"/>
          </w:tcPr>
          <w:p>
            <w:r>
              <w:rPr>
                <w:sz w:val="18"/>
              </w:rPr>
              <w:t>既存テスト件数 vs TRM追加検出件数、GAP率</w:t>
            </w:r>
          </w:p>
        </w:tc>
        <w:tc>
          <w:tcPr>
            <w:tcW w:type="dxa" w:w="3324"/>
          </w:tcPr>
          <w:p>
            <w:r>
              <w:rPr>
                <w:sz w:val="18"/>
              </w:rPr>
              <w:t>§6.3</w:t>
            </w:r>
          </w:p>
        </w:tc>
      </w:tr>
      <w:tr>
        <w:tc>
          <w:tcPr>
            <w:tcW w:type="dxa" w:w="3324"/>
          </w:tcPr>
          <w:p>
            <w:r>
              <w:rPr>
                <w:sz w:val="18"/>
              </w:rPr>
              <w:t>② 非エンジニア可読性</w:t>
            </w:r>
          </w:p>
        </w:tc>
        <w:tc>
          <w:tcPr>
            <w:tcW w:type="dxa" w:w="3324"/>
          </w:tcPr>
          <w:p>
            <w:r>
              <w:rPr>
                <w:sz w:val="18"/>
              </w:rPr>
              <w:t>L1/L2/L3 分布、可読率 (L1+L2)</w:t>
            </w:r>
          </w:p>
        </w:tc>
        <w:tc>
          <w:tcPr>
            <w:tcW w:type="dxa" w:w="3324"/>
          </w:tcPr>
          <w:p>
            <w:r>
              <w:rPr>
                <w:sz w:val="18"/>
              </w:rPr>
              <w:t>§6.5</w:t>
            </w:r>
          </w:p>
        </w:tc>
      </w:tr>
      <w:tr>
        <w:tc>
          <w:tcPr>
            <w:tcW w:type="dxa" w:w="3324"/>
          </w:tcPr>
          <w:p>
            <w:r>
              <w:rPr>
                <w:sz w:val="18"/>
              </w:rPr>
              <w:t>③ v3.1 OOP拡張効果</w:t>
            </w:r>
          </w:p>
        </w:tc>
        <w:tc>
          <w:tcPr>
            <w:tcW w:type="dxa" w:w="3324"/>
          </w:tcPr>
          <w:p>
            <w:r>
              <w:rPr>
                <w:sz w:val="18"/>
              </w:rPr>
              <w:t>従来5種別 vs v3.1追加種別、EN検出リスク高/中/低</w:t>
            </w:r>
          </w:p>
        </w:tc>
        <w:tc>
          <w:tcPr>
            <w:tcW w:type="dxa" w:w="3324"/>
          </w:tcPr>
          <w:p>
            <w:r>
              <w:rPr>
                <w:sz w:val="18"/>
              </w:rPr>
              <w:t>§6.7</w:t>
            </w:r>
          </w:p>
        </w:tc>
      </w:tr>
    </w:tbl>
    <w:p>
      <w:pPr>
        <w:spacing w:after="60" w:line="312" w:lineRule="auto"/>
      </w:pPr>
      <w:r>
        <w:t>ページ冒頭に「このページで示すこと」のタイトル帯を付加することで、読者は図を見た瞬間に論文の主張がどの数字で裏付けられているかを把握できる。</w:t>
      </w:r>
    </w:p>
    <w:p>
      <w:pPr>
        <w:pStyle w:val="Heading3"/>
      </w:pPr>
      <w:r>
        <w:t>3.4.4 3次元グラフの採用範囲</w:t>
      </w:r>
    </w:p>
    <w:p>
      <w:pPr>
        <w:spacing w:after="60" w:line="312" w:lineRule="auto"/>
      </w:pPr>
      <w:r>
        <w:t xml:space="preserve">一般的な3D散布プロット・曲面プロットは、離散的なトリガー組合せの可視化では遮蔽・遠近歪み・静的媒体不適合の観点から2D に劣るため本研究では採用しない。ただし機能分類ジオラマは </w:t>
      </w:r>
      <w:r>
        <w:rPr>
          <w:b/>
        </w:rPr>
        <w:t>等角投影で層の重なりを立体的に見せる擬似3D</w:t>
      </w:r>
      <w:r>
        <w:t xml:space="preserve"> であり、遮蔽の少ない利用形態に限定している。Tufte [22] の視覚化原則（情報量を装飾で増やさない）と整合的である。</w:t>
      </w:r>
    </w:p>
    <w:p>
      <w:pPr>
        <w:pStyle w:val="Heading1"/>
      </w:pPr>
      <w:r>
        <w:t>4. 実験設計</w:t>
      </w:r>
    </w:p>
    <w:p>
      <w:pPr>
        <w:pStyle w:val="Heading2"/>
      </w:pPr>
      <w:r>
        <w:t>4.1 対象選定方針</w:t>
      </w:r>
    </w:p>
    <w:p>
      <w:pPr>
        <w:spacing w:after="60" w:line="312" w:lineRule="auto"/>
      </w:pPr>
      <w:r>
        <w:t>本研究の目的（研究の問い (1)(2)）に適う実験対象の選定には、次の5要件を課した:</w:t>
      </w:r>
    </w:p>
    <w:p>
      <w:pPr>
        <w:pStyle w:val="ListNumber"/>
      </w:pPr>
      <w:r>
        <w:t>実在性: 研究用に作成した合成コードではなく、実際に保守されている OSS を対象とする。実務適用可能性を示す外的妥当性の確保。</w:t>
      </w:r>
    </w:p>
    <w:p>
      <w:pPr>
        <w:pStyle w:val="ListNumber"/>
      </w:pPr>
      <w:r>
        <w:t>多様性: 少なくとも2つの異なる言語・ドメイン・設計スタイルを選定する。</w:t>
      </w:r>
    </w:p>
    <w:p>
      <w:pPr>
        <w:pStyle w:val="ListNumber"/>
      </w:pPr>
      <w:r>
        <w:t>可観測性: 対象リポジトリに既存単体テストが存在すること。比較検証のため。</w:t>
      </w:r>
    </w:p>
    <w:p>
      <w:pPr>
        <w:pStyle w:val="ListNumber"/>
      </w:pPr>
      <w:r>
        <w:t>適切な規模: 総行数が数万行規模で、対象モジュールが1万行以下。論文期間内に評価軸を算出可能とする。</w:t>
      </w:r>
    </w:p>
    <w:p>
      <w:pPr>
        <w:pStyle w:val="ListNumber"/>
      </w:pPr>
      <w:r>
        <w:t>非属人性: 実証対象が特定の研究者・組織のコードではないこと。再現可能性と中立性の確保。</w:t>
      </w:r>
    </w:p>
    <w:p>
      <w:pPr>
        <w:pStyle w:val="Heading2"/>
      </w:pPr>
      <w:r>
        <w:t>4.2 選定結果</w:t>
      </w:r>
    </w:p>
    <w:p>
      <w:pPr>
        <w:spacing w:after="60" w:line="312" w:lineRule="auto"/>
      </w:pPr>
      <w:r>
        <w:t>上記要件を踏まえ、以下3対象を選定した:</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8"/>
              </w:rPr>
              <w:t>対象</w:t>
            </w:r>
          </w:p>
        </w:tc>
        <w:tc>
          <w:tcPr>
            <w:tcW w:type="dxa" w:w="1662"/>
          </w:tcPr>
          <w:p>
            <w:r>
              <w:rPr>
                <w:b/>
                <w:sz w:val="18"/>
              </w:rPr>
              <w:t>言語</w:t>
            </w:r>
          </w:p>
        </w:tc>
        <w:tc>
          <w:tcPr>
            <w:tcW w:type="dxa" w:w="1662"/>
          </w:tcPr>
          <w:p>
            <w:r>
              <w:rPr>
                <w:b/>
                <w:sz w:val="18"/>
              </w:rPr>
              <w:t>設計スタイル</w:t>
            </w:r>
          </w:p>
        </w:tc>
        <w:tc>
          <w:tcPr>
            <w:tcW w:type="dxa" w:w="1662"/>
          </w:tcPr>
          <w:p>
            <w:r>
              <w:rPr>
                <w:b/>
                <w:sz w:val="18"/>
              </w:rPr>
              <w:t>ドメイン</w:t>
            </w:r>
          </w:p>
        </w:tc>
        <w:tc>
          <w:tcPr>
            <w:tcW w:type="dxa" w:w="1662"/>
          </w:tcPr>
          <w:p>
            <w:r>
              <w:rPr>
                <w:b/>
                <w:sz w:val="18"/>
              </w:rPr>
              <w:t>規模</w:t>
            </w:r>
          </w:p>
        </w:tc>
        <w:tc>
          <w:tcPr>
            <w:tcW w:type="dxa" w:w="1662"/>
          </w:tcPr>
          <w:p>
            <w:r>
              <w:rPr>
                <w:b/>
                <w:sz w:val="18"/>
              </w:rPr>
              <w:t>役割</w:t>
            </w:r>
          </w:p>
        </w:tc>
      </w:tr>
      <w:tr>
        <w:tc>
          <w:tcPr>
            <w:tcW w:type="dxa" w:w="1662"/>
          </w:tcPr>
          <w:p>
            <w:r>
              <w:rPr>
                <w:sz w:val="18"/>
              </w:rPr>
              <w:t>sakura-editor/sakura</w:t>
            </w:r>
          </w:p>
        </w:tc>
        <w:tc>
          <w:tcPr>
            <w:tcW w:type="dxa" w:w="1662"/>
          </w:tcPr>
          <w:p>
            <w:r>
              <w:rPr>
                <w:sz w:val="18"/>
              </w:rPr>
              <w:t>C++</w:t>
            </w:r>
          </w:p>
        </w:tc>
        <w:tc>
          <w:tcPr>
            <w:tcW w:type="dxa" w:w="1662"/>
          </w:tcPr>
          <w:p>
            <w:r>
              <w:rPr>
                <w:sz w:val="18"/>
              </w:rPr>
              <w:t>手続き型</w:t>
            </w:r>
          </w:p>
        </w:tc>
        <w:tc>
          <w:tcPr>
            <w:tcW w:type="dxa" w:w="1662"/>
          </w:tcPr>
          <w:p>
            <w:r>
              <w:rPr>
                <w:sz w:val="18"/>
              </w:rPr>
              <w:t>テキストエディタ</w:t>
            </w:r>
          </w:p>
        </w:tc>
        <w:tc>
          <w:tcPr>
            <w:tcW w:type="dxa" w:w="1662"/>
          </w:tcPr>
          <w:p>
            <w:r>
              <w:rPr>
                <w:sz w:val="18"/>
              </w:rPr>
              <w:t>8関数・約385行</w:t>
            </w:r>
          </w:p>
        </w:tc>
        <w:tc>
          <w:tcPr>
            <w:tcW w:type="dxa" w:w="1662"/>
          </w:tcPr>
          <w:p>
            <w:r>
              <w:rPr>
                <w:sz w:val="18"/>
              </w:rPr>
              <w:t>主実証</w:t>
            </w:r>
          </w:p>
        </w:tc>
      </w:tr>
      <w:tr>
        <w:tc>
          <w:tcPr>
            <w:tcW w:type="dxa" w:w="1662"/>
          </w:tcPr>
          <w:p>
            <w:r>
              <w:rPr>
                <w:sz w:val="18"/>
              </w:rPr>
              <w:t>pallets/click</w:t>
            </w:r>
          </w:p>
        </w:tc>
        <w:tc>
          <w:tcPr>
            <w:tcW w:type="dxa" w:w="1662"/>
          </w:tcPr>
          <w:p>
            <w:r>
              <w:rPr>
                <w:sz w:val="18"/>
              </w:rPr>
              <w:t>Python</w:t>
            </w:r>
          </w:p>
        </w:tc>
        <w:tc>
          <w:tcPr>
            <w:tcW w:type="dxa" w:w="1662"/>
          </w:tcPr>
          <w:p>
            <w:r>
              <w:rPr>
                <w:sz w:val="18"/>
              </w:rPr>
              <w:t>OOP + 型中心</w:t>
            </w:r>
          </w:p>
        </w:tc>
        <w:tc>
          <w:tcPr>
            <w:tcW w:type="dxa" w:w="1662"/>
          </w:tcPr>
          <w:p>
            <w:r>
              <w:rPr>
                <w:sz w:val="18"/>
              </w:rPr>
              <w:t>CLI フレームワーク</w:t>
            </w:r>
          </w:p>
        </w:tc>
        <w:tc>
          <w:tcPr>
            <w:tcW w:type="dxa" w:w="1662"/>
          </w:tcPr>
          <w:p>
            <w:r>
              <w:rPr>
                <w:sz w:val="18"/>
              </w:rPr>
              <w:t>8クラス・約400行抜粋</w:t>
            </w:r>
          </w:p>
        </w:tc>
        <w:tc>
          <w:tcPr>
            <w:tcW w:type="dxa" w:w="1662"/>
          </w:tcPr>
          <w:p>
            <w:r>
              <w:rPr>
                <w:sz w:val="18"/>
              </w:rPr>
              <w:t>汎用性検証</w:t>
            </w:r>
          </w:p>
        </w:tc>
      </w:tr>
      <w:tr>
        <w:tc>
          <w:tcPr>
            <w:tcW w:type="dxa" w:w="1662"/>
          </w:tcPr>
          <w:p>
            <w:r>
              <w:rPr>
                <w:sz w:val="18"/>
              </w:rPr>
              <w:t>リバーシ（自作）</w:t>
            </w:r>
          </w:p>
        </w:tc>
        <w:tc>
          <w:tcPr>
            <w:tcW w:type="dxa" w:w="1662"/>
          </w:tcPr>
          <w:p>
            <w:r>
              <w:rPr>
                <w:sz w:val="18"/>
              </w:rPr>
              <w:t>Python</w:t>
            </w:r>
          </w:p>
        </w:tc>
        <w:tc>
          <w:tcPr>
            <w:tcW w:type="dxa" w:w="1662"/>
          </w:tcPr>
          <w:p>
            <w:r>
              <w:rPr>
                <w:sz w:val="18"/>
              </w:rPr>
              <w:t>関数型</w:t>
            </w:r>
          </w:p>
        </w:tc>
        <w:tc>
          <w:tcPr>
            <w:tcW w:type="dxa" w:w="1662"/>
          </w:tcPr>
          <w:p>
            <w:r>
              <w:rPr>
                <w:sz w:val="18"/>
              </w:rPr>
              <w:t>ゲーム</w:t>
            </w:r>
          </w:p>
        </w:tc>
        <w:tc>
          <w:tcPr>
            <w:tcW w:type="dxa" w:w="1662"/>
          </w:tcPr>
          <w:p>
            <w:r>
              <w:rPr>
                <w:sz w:val="18"/>
              </w:rPr>
              <w:t>6関数・80行</w:t>
            </w:r>
          </w:p>
        </w:tc>
        <w:tc>
          <w:tcPr>
            <w:tcW w:type="dxa" w:w="1662"/>
          </w:tcPr>
          <w:p>
            <w:r>
              <w:rPr>
                <w:sz w:val="18"/>
              </w:rPr>
              <w:t>アンケート用合成題材</w:t>
            </w:r>
          </w:p>
        </w:tc>
      </w:tr>
    </w:tbl>
    <w:p>
      <w:pPr>
        <w:spacing w:after="60" w:line="312" w:lineRule="auto"/>
      </w:pPr>
      <w:r>
        <w:t>3対象は、言語パラダイム（手続き型 / OOP / 関数型）、設計スタイル、ドメインの三軸で互いに異なる。sakura-editor は既に公開済み実証 [本研究の前身] で、本稿では追加実証として CMemoryIterator クラスへの v3.1 適用を加える。</w:t>
      </w:r>
    </w:p>
    <w:p>
      <w:pPr>
        <w:pStyle w:val="Heading2"/>
      </w:pPr>
      <w:r>
        <w:t>4.3 非エンジニアへの情報提供妥当性検証</w:t>
      </w:r>
    </w:p>
    <w:p>
      <w:pPr>
        <w:spacing w:after="60" w:line="312" w:lineRule="auto"/>
      </w:pPr>
      <w:r>
        <w:t>研究の問い (2) に対しては、実在 OSS そのものを非エンジニアに提示すると前提知識不足で無効回答が増えるため、</w:t>
      </w:r>
      <w:r>
        <w:rPr>
          <w:b/>
        </w:rPr>
        <w:t>題材を最小化した合成サンプル</w:t>
      </w:r>
      <w:r>
        <w:t>（リバーシの合法手判定処理、80行）を用意し、3種類の TRM 提示形式（自然文リスト・階層化・視覚化併用）で可読性を比較するアンケートを設計した。その上で、sakura-editor から抜粋した実コード片を追加提示し、合成題材での可読性が実 OSS に対してどの程度維持されるかを観察する。</w:t>
      </w:r>
    </w:p>
    <w:p>
      <w:pPr>
        <w:spacing w:after="60" w:line="312" w:lineRule="auto"/>
      </w:pPr>
      <w:r>
        <w:t>アンケートは全25問、所要時間12〜15分、目標回答数30件（非エンジニア比率 ≥ 40%）で設計した。</w:t>
      </w:r>
    </w:p>
    <w:p>
      <w:pPr>
        <w:pStyle w:val="Heading2"/>
      </w:pPr>
      <w:r>
        <w:t>4.4 pallets/click への v3.1 適用</w:t>
      </w:r>
    </w:p>
    <w:p>
      <w:pPr>
        <w:spacing w:after="60" w:line="312" w:lineRule="auto"/>
      </w:pPr>
      <w:r>
        <w:t xml:space="preserve">click の </w:t>
      </w:r>
      <w:r>
        <w:rPr>
          <w:rFonts w:ascii="Consolas" w:hAnsi="Consolas"/>
          <w:sz w:val="18"/>
        </w:rPr>
        <w:t>src/click/types.py</w:t>
      </w:r>
      <w:r>
        <w:t xml:space="preserve"> から ParamType 継承階層の代表5クラス（ParamType, StringParamType, Choice, _NumberParamTypeBase, IntRange）に v3.1 を適用した。さらに決定クラス階層として ClickException, BadParameter, MissingParameter、デコレータ系として make_pass_decorator を追加し、計8ターゲットに拡張した。</w:t>
      </w:r>
    </w:p>
    <w:p>
      <w:pPr>
        <w:pStyle w:val="Heading2"/>
      </w:pPr>
      <w:r>
        <w:t>4.5 sakura-editor への v3.1 遡及適用</w:t>
      </w:r>
    </w:p>
    <w:p>
      <w:pPr>
        <w:spacing w:after="60" w:line="312" w:lineRule="auto"/>
      </w:pPr>
      <w:r>
        <w:t xml:space="preserve">sakura-editor は既公開実証では手続き型中心の選定であったため、v3.1 の OOP 拡張（CI/SV/CP/EN）の効果は直接評価できない。本稿では代表 OOP クラスとして </w:t>
      </w:r>
      <w:r>
        <w:rPr>
          <w:rFonts w:ascii="Consolas" w:hAnsi="Consolas"/>
          <w:sz w:val="18"/>
        </w:rPr>
        <w:t>sakura_core/mem/CMemoryIterator.h</w:t>
      </w:r>
      <w:r>
        <w:t>（153行、1クラス、Iterator パターン）を追加実証に組み込み、既存 sakura 実証の補完とした。</w:t>
      </w:r>
    </w:p>
    <w:p>
      <w:pPr>
        <w:pStyle w:val="Heading1"/>
      </w:pPr>
      <w:r>
        <w:t>5. 評価指標</w:t>
      </w:r>
    </w:p>
    <w:p>
      <w:pPr>
        <w:pStyle w:val="Heading2"/>
      </w:pPr>
      <w:r>
        <w:t>5.1 4カテゴリ</w:t>
      </w:r>
    </w:p>
    <w:p>
      <w:pPr>
        <w:spacing w:after="60" w:line="312" w:lineRule="auto"/>
      </w:pPr>
      <w:r>
        <w:t>TRM の品質を次の4カテゴリで測定する:</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8"/>
              </w:rPr>
              <w:t>カテゴリ</w:t>
            </w:r>
          </w:p>
        </w:tc>
        <w:tc>
          <w:tcPr>
            <w:tcW w:type="dxa" w:w="2493"/>
          </w:tcPr>
          <w:p>
            <w:r>
              <w:rPr>
                <w:b/>
                <w:sz w:val="18"/>
              </w:rPr>
              <w:t>観点</w:t>
            </w:r>
          </w:p>
        </w:tc>
        <w:tc>
          <w:tcPr>
            <w:tcW w:type="dxa" w:w="2493"/>
          </w:tcPr>
          <w:p>
            <w:r>
              <w:rPr>
                <w:b/>
                <w:sz w:val="18"/>
              </w:rPr>
              <w:t>代表指標</w:t>
            </w:r>
          </w:p>
        </w:tc>
        <w:tc>
          <w:tcPr>
            <w:tcW w:type="dxa" w:w="2493"/>
          </w:tcPr>
          <w:p>
            <w:r>
              <w:rPr>
                <w:b/>
                <w:sz w:val="18"/>
              </w:rPr>
              <w:t>目的</w:t>
            </w:r>
          </w:p>
        </w:tc>
      </w:tr>
      <w:tr>
        <w:tc>
          <w:tcPr>
            <w:tcW w:type="dxa" w:w="2493"/>
          </w:tcPr>
          <w:p>
            <w:r>
              <w:rPr>
                <w:sz w:val="18"/>
              </w:rPr>
              <w:t>A. 網羅性</w:t>
            </w:r>
          </w:p>
        </w:tc>
        <w:tc>
          <w:tcPr>
            <w:tcW w:type="dxa" w:w="2493"/>
          </w:tcPr>
          <w:p>
            <w:r>
              <w:rPr>
                <w:sz w:val="18"/>
              </w:rPr>
              <w:t>要求密度・カバー率</w:t>
            </w:r>
          </w:p>
        </w:tc>
        <w:tc>
          <w:tcPr>
            <w:tcW w:type="dxa" w:w="2493"/>
          </w:tcPr>
          <w:p>
            <w:r>
              <w:rPr>
                <w:sz w:val="18"/>
              </w:rPr>
              <w:t>要求数・種別内訳・既存テスト比較</w:t>
            </w:r>
          </w:p>
        </w:tc>
        <w:tc>
          <w:tcPr>
            <w:tcW w:type="dxa" w:w="2493"/>
          </w:tcPr>
          <w:p>
            <w:r>
              <w:rPr>
                <w:sz w:val="18"/>
              </w:rPr>
              <w:t>テスト漏れの定量化</w:t>
            </w:r>
          </w:p>
        </w:tc>
      </w:tr>
      <w:tr>
        <w:tc>
          <w:tcPr>
            <w:tcW w:type="dxa" w:w="2493"/>
          </w:tcPr>
          <w:p>
            <w:r>
              <w:rPr>
                <w:sz w:val="18"/>
              </w:rPr>
              <w:t>B. 可読性</w:t>
            </w:r>
          </w:p>
        </w:tc>
        <w:tc>
          <w:tcPr>
            <w:tcW w:type="dxa" w:w="2493"/>
          </w:tcPr>
          <w:p>
            <w:r>
              <w:rPr>
                <w:sz w:val="18"/>
              </w:rPr>
              <w:t>非エンジニアへの伝達性</w:t>
            </w:r>
          </w:p>
        </w:tc>
        <w:tc>
          <w:tcPr>
            <w:tcW w:type="dxa" w:w="2493"/>
          </w:tcPr>
          <w:p>
            <w:r>
              <w:rPr>
                <w:sz w:val="18"/>
              </w:rPr>
              <w:t>3レベル分類・可読率</w:t>
            </w:r>
          </w:p>
        </w:tc>
        <w:tc>
          <w:tcPr>
            <w:tcW w:type="dxa" w:w="2493"/>
          </w:tcPr>
          <w:p>
            <w:r>
              <w:rPr>
                <w:sz w:val="18"/>
              </w:rPr>
              <w:t>コミュニケーション基盤性の評価</w:t>
            </w:r>
          </w:p>
        </w:tc>
      </w:tr>
      <w:tr>
        <w:tc>
          <w:tcPr>
            <w:tcW w:type="dxa" w:w="2493"/>
          </w:tcPr>
          <w:p>
            <w:r>
              <w:rPr>
                <w:sz w:val="18"/>
              </w:rPr>
              <w:t>C. 検証性</w:t>
            </w:r>
          </w:p>
        </w:tc>
        <w:tc>
          <w:tcPr>
            <w:tcW w:type="dxa" w:w="2493"/>
          </w:tcPr>
          <w:p>
            <w:r>
              <w:rPr>
                <w:sz w:val="18"/>
              </w:rPr>
              <w:t>テストとして成立するか</w:t>
            </w:r>
          </w:p>
        </w:tc>
        <w:tc>
          <w:tcPr>
            <w:tcW w:type="dxa" w:w="2493"/>
          </w:tcPr>
          <w:p>
            <w:r>
              <w:rPr>
                <w:sz w:val="18"/>
              </w:rPr>
              <w:t>初回PASS率・期待値根拠</w:t>
            </w:r>
          </w:p>
        </w:tc>
        <w:tc>
          <w:tcPr>
            <w:tcW w:type="dxa" w:w="2493"/>
          </w:tcPr>
          <w:p>
            <w:r>
              <w:rPr>
                <w:sz w:val="18"/>
              </w:rPr>
              <w:t>要求が実装検証として機能するか</w:t>
            </w:r>
          </w:p>
        </w:tc>
      </w:tr>
      <w:tr>
        <w:tc>
          <w:tcPr>
            <w:tcW w:type="dxa" w:w="2493"/>
          </w:tcPr>
          <w:p>
            <w:r>
              <w:rPr>
                <w:sz w:val="18"/>
              </w:rPr>
              <w:t>D. 保守性</w:t>
            </w:r>
          </w:p>
        </w:tc>
        <w:tc>
          <w:tcPr>
            <w:tcW w:type="dxa" w:w="2493"/>
          </w:tcPr>
          <w:p>
            <w:r>
              <w:rPr>
                <w:sz w:val="18"/>
              </w:rPr>
              <w:t>変更追随性</w:t>
            </w:r>
          </w:p>
        </w:tc>
        <w:tc>
          <w:tcPr>
            <w:tcW w:type="dxa" w:w="2493"/>
          </w:tcPr>
          <w:p>
            <w:r>
              <w:rPr>
                <w:sz w:val="18"/>
              </w:rPr>
              <w:t>影響範囲推定・汎用要求比率</w:t>
            </w:r>
          </w:p>
        </w:tc>
        <w:tc>
          <w:tcPr>
            <w:tcW w:type="dxa" w:w="2493"/>
          </w:tcPr>
          <w:p>
            <w:r>
              <w:rPr>
                <w:sz w:val="18"/>
              </w:rPr>
              <w:t>仕様変更に対するコストの低さ</w:t>
            </w:r>
          </w:p>
        </w:tc>
      </w:tr>
    </w:tbl>
    <w:p>
      <w:pPr>
        <w:pStyle w:val="Heading2"/>
      </w:pPr>
      <w:r>
        <w:t>5.2 v3.1 追加の OOP/EN 指標</w:t>
      </w:r>
    </w:p>
    <w:p>
      <w:pPr>
        <w:spacing w:after="60" w:line="312" w:lineRule="auto"/>
      </w:pPr>
      <w:r>
        <w:t>OOP 拡張に対応して以下の指標を追加した:</w:t>
      </w:r>
    </w:p>
    <w:p>
      <w:pPr>
        <w:pStyle w:val="ListBullet"/>
      </w:pPr>
      <w:r>
        <w:t>CI 網羅率: CI 要求数 / 対象クラスのオーバーライドメソッド総数</w:t>
      </w:r>
    </w:p>
    <w:p>
      <w:pPr>
        <w:pStyle w:val="ListBullet"/>
      </w:pPr>
      <w:r>
        <w:t>SV 網羅率: SV 要求数 / 対象クラスの可変フィールド総数</w:t>
      </w:r>
    </w:p>
    <w:p>
      <w:pPr>
        <w:pStyle w:val="ListBullet"/>
      </w:pPr>
      <w:r>
        <w:t>CP 検出率: CP 要求数 / 検出パターン数</w:t>
      </w:r>
    </w:p>
    <w:p>
      <w:pPr>
        <w:pStyle w:val="ListBullet"/>
      </w:pPr>
      <w:r>
        <w:t>EN 網羅率: EN 要求数 / 対象クラスのフィールド総数</w:t>
      </w:r>
    </w:p>
    <w:p>
      <w:pPr>
        <w:pStyle w:val="ListBullet"/>
      </w:pPr>
      <w:r>
        <w:t>アクセス制御検証率: access_control_correctness 要求数 / 非 public 期待フィールド数</w:t>
      </w:r>
    </w:p>
    <w:p>
      <w:pPr>
        <w:pStyle w:val="ListBullet"/>
      </w:pPr>
      <w:r>
        <w:t>構築契約カバー: construction_contract 要求数 / コンストラクタ × 必須フィールドの組合せ数</w:t>
      </w:r>
    </w:p>
    <w:p>
      <w:pPr>
        <w:pStyle w:val="ListBullet"/>
      </w:pPr>
      <w:r>
        <w:t>カプセル化リスク消化率: 対応要求のあるリスク / 検出されたリスク総数</w:t>
      </w:r>
    </w:p>
    <w:p>
      <w:pPr>
        <w:pStyle w:val="Heading2"/>
      </w:pPr>
      <w:r>
        <w:t>5.3 可読性の3レベル分類と自動分類器</w:t>
      </w:r>
    </w:p>
    <w:p>
      <w:pPr>
        <w:spacing w:after="60" w:line="312" w:lineRule="auto"/>
      </w:pPr>
      <w:r>
        <w:t xml:space="preserve">description フィールドを Level 1（一般用語のみで理解可能）・Level 2（ドメイン用語を含むが分野経験者なら理解可能）・Level 3（実装語彙を含む）に分類する。本稿では約60語の L3 キーワード（型名・制御構造・例外名など）と約40語の L2 キーワード（テスト工学・ドメイン用語）を用いた </w:t>
      </w:r>
      <w:r>
        <w:rPr>
          <w:b/>
        </w:rPr>
        <w:t>ルールベース自動分類器</w:t>
      </w:r>
      <w:r>
        <w:t>（</w:t>
      </w:r>
      <w:r>
        <w:rPr>
          <w:rFonts w:ascii="Consolas" w:hAnsi="Consolas"/>
          <w:sz w:val="18"/>
        </w:rPr>
        <w:t>scripts/classify_readability.py</w:t>
      </w:r>
      <w:r>
        <w:t>）を実装し、3対象すべてに適用した。</w:t>
      </w:r>
    </w:p>
    <w:p>
      <w:pPr>
        <w:spacing w:after="60" w:line="312" w:lineRule="auto"/>
      </w:pPr>
      <w:r>
        <w:t>ルールベースは決定的に動作するため論文の再現性を担保する一方、個別要求の誤分類は避けられない。本研究では click TRM から層化系統抽出した50件について手動分類を実施し、自動分類との一致率を計測した。初版辞書では一致率 56.0%（Cohen's Kappa ≈ 0.32）であったが、不一致の91%が click 固有API名（</w:t>
      </w:r>
      <w:r>
        <w:rPr>
          <w:rFonts w:ascii="Consolas" w:hAnsi="Consolas"/>
          <w:sz w:val="18"/>
        </w:rPr>
        <w:t>ensure_object</w:t>
      </w:r>
      <w:r>
        <w:t xml:space="preserve">, </w:t>
      </w:r>
      <w:r>
        <w:rPr>
          <w:rFonts w:ascii="Consolas" w:hAnsi="Consolas"/>
          <w:sz w:val="18"/>
        </w:rPr>
        <w:t>ctx.invoke</w:t>
      </w:r>
      <w:r>
        <w:t xml:space="preserve">, </w:t>
      </w:r>
      <w:r>
        <w:rPr>
          <w:rFonts w:ascii="Consolas" w:hAnsi="Consolas"/>
          <w:sz w:val="18"/>
        </w:rPr>
        <w:t>ClickException</w:t>
      </w:r>
      <w:r>
        <w:t xml:space="preserve"> 等）の辞書未登録が主因であったため、辞書を拡張した改善版（v2）で再計測したところ、</w:t>
      </w:r>
      <w:r>
        <w:rPr>
          <w:b/>
        </w:rPr>
        <w:t>一致率は 98.0%（Cohen's Kappa ≈ 0.95）まで向上</w:t>
      </w:r>
      <w:r>
        <w:t xml:space="preserve"> した。v2 辞書を click TRM 全173件に適用した結果は、手動分類結果の外挿値として妥当性が高く、本稿の可読率数値はこの v2 分類を用いている。</w:t>
      </w:r>
    </w:p>
    <w:p>
      <w:pPr>
        <w:pStyle w:val="Heading1"/>
      </w:pPr>
      <w:r>
        <w:t>6. 結果</w:t>
      </w:r>
    </w:p>
    <w:p>
      <w:pPr>
        <w:pStyle w:val="Heading2"/>
      </w:pPr>
      <w:r>
        <w:t>6.1 sakura-editor 実証（既存）の再掲</w:t>
      </w:r>
    </w:p>
    <w:p>
      <w:pPr>
        <w:spacing w:after="60" w:line="312" w:lineRule="auto"/>
      </w:pPr>
      <w:r>
        <w:t>sakura-editor 実証では、8関数（format.cpp, CWordParse.cpp, convert_util.cpp の3ファイル）に対して99件の要求を導出し、カバー率100%、初回PASS率91.7%、修正後PASS率100%を達成した。可読率は手動分類で65.7%（L1: 38.4%, L2: 27.3%, L3: 34.3%）であった [既存論文 §6]。</w:t>
      </w:r>
    </w:p>
    <w:p>
      <w:pPr>
        <w:pStyle w:val="Heading2"/>
      </w:pPr>
      <w:r>
        <w:t>6.2 pallets/click 実証（本稿の新規実証）</w:t>
      </w:r>
    </w:p>
    <w:p>
      <w:pPr>
        <w:spacing w:after="60" w:line="312" w:lineRule="auto"/>
      </w:pPr>
      <w:r>
        <w:t>click への v3.1 適用により、types.py 5クラスで131件、さらに exceptions.py と decorators.py を追加した8ターゲットで計173件の要求を導出した。種別別内訳を以下に示す:</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種別</w:t>
            </w:r>
          </w:p>
        </w:tc>
        <w:tc>
          <w:tcPr>
            <w:tcW w:type="dxa" w:w="3324"/>
          </w:tcPr>
          <w:p>
            <w:r>
              <w:rPr>
                <w:b/>
                <w:sz w:val="18"/>
              </w:rPr>
              <w:t>件数</w:t>
            </w:r>
          </w:p>
        </w:tc>
        <w:tc>
          <w:tcPr>
            <w:tcW w:type="dxa" w:w="3324"/>
          </w:tcPr>
          <w:p>
            <w:r>
              <w:rPr>
                <w:b/>
                <w:sz w:val="18"/>
              </w:rPr>
              <w:t>割合</w:t>
            </w:r>
          </w:p>
        </w:tc>
      </w:tr>
      <w:tr>
        <w:tc>
          <w:tcPr>
            <w:tcW w:type="dxa" w:w="3324"/>
          </w:tcPr>
          <w:p>
            <w:r>
              <w:rPr>
                <w:sz w:val="18"/>
              </w:rPr>
              <w:t>BR</w:t>
            </w:r>
          </w:p>
        </w:tc>
        <w:tc>
          <w:tcPr>
            <w:tcW w:type="dxa" w:w="3324"/>
          </w:tcPr>
          <w:p>
            <w:r>
              <w:rPr>
                <w:sz w:val="18"/>
              </w:rPr>
              <w:t>47</w:t>
            </w:r>
          </w:p>
        </w:tc>
        <w:tc>
          <w:tcPr>
            <w:tcW w:type="dxa" w:w="3324"/>
          </w:tcPr>
          <w:p>
            <w:r>
              <w:rPr>
                <w:sz w:val="18"/>
              </w:rPr>
              <w:t>27.2%</w:t>
            </w:r>
          </w:p>
        </w:tc>
      </w:tr>
      <w:tr>
        <w:tc>
          <w:tcPr>
            <w:tcW w:type="dxa" w:w="3324"/>
          </w:tcPr>
          <w:p>
            <w:r>
              <w:rPr>
                <w:sz w:val="18"/>
              </w:rPr>
              <w:t>EC</w:t>
            </w:r>
          </w:p>
        </w:tc>
        <w:tc>
          <w:tcPr>
            <w:tcW w:type="dxa" w:w="3324"/>
          </w:tcPr>
          <w:p>
            <w:r>
              <w:rPr>
                <w:sz w:val="18"/>
              </w:rPr>
              <w:t>22</w:t>
            </w:r>
          </w:p>
        </w:tc>
        <w:tc>
          <w:tcPr>
            <w:tcW w:type="dxa" w:w="3324"/>
          </w:tcPr>
          <w:p>
            <w:r>
              <w:rPr>
                <w:sz w:val="18"/>
              </w:rPr>
              <w:t>12.7%</w:t>
            </w:r>
          </w:p>
        </w:tc>
      </w:tr>
      <w:tr>
        <w:tc>
          <w:tcPr>
            <w:tcW w:type="dxa" w:w="3324"/>
          </w:tcPr>
          <w:p>
            <w:r>
              <w:rPr>
                <w:sz w:val="18"/>
              </w:rPr>
              <w:t>BV</w:t>
            </w:r>
          </w:p>
        </w:tc>
        <w:tc>
          <w:tcPr>
            <w:tcW w:type="dxa" w:w="3324"/>
          </w:tcPr>
          <w:p>
            <w:r>
              <w:rPr>
                <w:sz w:val="18"/>
              </w:rPr>
              <w:t>11</w:t>
            </w:r>
          </w:p>
        </w:tc>
        <w:tc>
          <w:tcPr>
            <w:tcW w:type="dxa" w:w="3324"/>
          </w:tcPr>
          <w:p>
            <w:r>
              <w:rPr>
                <w:sz w:val="18"/>
              </w:rPr>
              <w:t>6.4%</w:t>
            </w:r>
          </w:p>
        </w:tc>
      </w:tr>
      <w:tr>
        <w:tc>
          <w:tcPr>
            <w:tcW w:type="dxa" w:w="3324"/>
          </w:tcPr>
          <w:p>
            <w:r>
              <w:rPr>
                <w:sz w:val="18"/>
              </w:rPr>
              <w:t>ER</w:t>
            </w:r>
          </w:p>
        </w:tc>
        <w:tc>
          <w:tcPr>
            <w:tcW w:type="dxa" w:w="3324"/>
          </w:tcPr>
          <w:p>
            <w:r>
              <w:rPr>
                <w:sz w:val="18"/>
              </w:rPr>
              <w:t>13</w:t>
            </w:r>
          </w:p>
        </w:tc>
        <w:tc>
          <w:tcPr>
            <w:tcW w:type="dxa" w:w="3324"/>
          </w:tcPr>
          <w:p>
            <w:r>
              <w:rPr>
                <w:sz w:val="18"/>
              </w:rPr>
              <w:t>7.5%</w:t>
            </w:r>
          </w:p>
        </w:tc>
      </w:tr>
      <w:tr>
        <w:tc>
          <w:tcPr>
            <w:tcW w:type="dxa" w:w="3324"/>
          </w:tcPr>
          <w:p>
            <w:r>
              <w:rPr>
                <w:sz w:val="18"/>
              </w:rPr>
              <w:t>DP</w:t>
            </w:r>
          </w:p>
        </w:tc>
        <w:tc>
          <w:tcPr>
            <w:tcW w:type="dxa" w:w="3324"/>
          </w:tcPr>
          <w:p>
            <w:r>
              <w:rPr>
                <w:sz w:val="18"/>
              </w:rPr>
              <w:t>7</w:t>
            </w:r>
          </w:p>
        </w:tc>
        <w:tc>
          <w:tcPr>
            <w:tcW w:type="dxa" w:w="3324"/>
          </w:tcPr>
          <w:p>
            <w:r>
              <w:rPr>
                <w:sz w:val="18"/>
              </w:rPr>
              <w:t>4.0%</w:t>
            </w:r>
          </w:p>
        </w:tc>
      </w:tr>
      <w:tr>
        <w:tc>
          <w:tcPr>
            <w:tcW w:type="dxa" w:w="3324"/>
          </w:tcPr>
          <w:p>
            <w:r>
              <w:rPr>
                <w:sz w:val="18"/>
              </w:rPr>
              <w:t>CI</w:t>
            </w:r>
          </w:p>
        </w:tc>
        <w:tc>
          <w:tcPr>
            <w:tcW w:type="dxa" w:w="3324"/>
          </w:tcPr>
          <w:p>
            <w:r>
              <w:rPr>
                <w:sz w:val="18"/>
              </w:rPr>
              <w:t>24</w:t>
            </w:r>
          </w:p>
        </w:tc>
        <w:tc>
          <w:tcPr>
            <w:tcW w:type="dxa" w:w="3324"/>
          </w:tcPr>
          <w:p>
            <w:r>
              <w:rPr>
                <w:sz w:val="18"/>
              </w:rPr>
              <w:t>13.9%</w:t>
            </w:r>
          </w:p>
        </w:tc>
      </w:tr>
      <w:tr>
        <w:tc>
          <w:tcPr>
            <w:tcW w:type="dxa" w:w="3324"/>
          </w:tcPr>
          <w:p>
            <w:r>
              <w:rPr>
                <w:sz w:val="18"/>
              </w:rPr>
              <w:t>SV</w:t>
            </w:r>
          </w:p>
        </w:tc>
        <w:tc>
          <w:tcPr>
            <w:tcW w:type="dxa" w:w="3324"/>
          </w:tcPr>
          <w:p>
            <w:r>
              <w:rPr>
                <w:sz w:val="18"/>
              </w:rPr>
              <w:t>13</w:t>
            </w:r>
          </w:p>
        </w:tc>
        <w:tc>
          <w:tcPr>
            <w:tcW w:type="dxa" w:w="3324"/>
          </w:tcPr>
          <w:p>
            <w:r>
              <w:rPr>
                <w:sz w:val="18"/>
              </w:rPr>
              <w:t>7.5%</w:t>
            </w:r>
          </w:p>
        </w:tc>
      </w:tr>
      <w:tr>
        <w:tc>
          <w:tcPr>
            <w:tcW w:type="dxa" w:w="3324"/>
          </w:tcPr>
          <w:p>
            <w:r>
              <w:rPr>
                <w:sz w:val="18"/>
              </w:rPr>
              <w:t>CP</w:t>
            </w:r>
          </w:p>
        </w:tc>
        <w:tc>
          <w:tcPr>
            <w:tcW w:type="dxa" w:w="3324"/>
          </w:tcPr>
          <w:p>
            <w:r>
              <w:rPr>
                <w:sz w:val="18"/>
              </w:rPr>
              <w:t>15</w:t>
            </w:r>
          </w:p>
        </w:tc>
        <w:tc>
          <w:tcPr>
            <w:tcW w:type="dxa" w:w="3324"/>
          </w:tcPr>
          <w:p>
            <w:r>
              <w:rPr>
                <w:sz w:val="18"/>
              </w:rPr>
              <w:t>8.7%</w:t>
            </w:r>
          </w:p>
        </w:tc>
      </w:tr>
      <w:tr>
        <w:tc>
          <w:tcPr>
            <w:tcW w:type="dxa" w:w="3324"/>
          </w:tcPr>
          <w:p>
            <w:r>
              <w:rPr>
                <w:sz w:val="18"/>
              </w:rPr>
              <w:t>EN</w:t>
            </w:r>
          </w:p>
        </w:tc>
        <w:tc>
          <w:tcPr>
            <w:tcW w:type="dxa" w:w="3324"/>
          </w:tcPr>
          <w:p>
            <w:r>
              <w:rPr>
                <w:sz w:val="18"/>
              </w:rPr>
              <w:t>21</w:t>
            </w:r>
          </w:p>
        </w:tc>
        <w:tc>
          <w:tcPr>
            <w:tcW w:type="dxa" w:w="3324"/>
          </w:tcPr>
          <w:p>
            <w:r>
              <w:rPr>
                <w:sz w:val="18"/>
              </w:rPr>
              <w:t>12.1%</w:t>
            </w:r>
          </w:p>
        </w:tc>
      </w:tr>
      <w:tr>
        <w:tc>
          <w:tcPr>
            <w:tcW w:type="dxa" w:w="3324"/>
          </w:tcPr>
          <w:p>
            <w:r>
              <w:rPr>
                <w:sz w:val="18"/>
              </w:rPr>
              <w:t>合計</w:t>
            </w:r>
          </w:p>
        </w:tc>
        <w:tc>
          <w:tcPr>
            <w:tcW w:type="dxa" w:w="3324"/>
          </w:tcPr>
          <w:p>
            <w:r>
              <w:rPr>
                <w:sz w:val="18"/>
              </w:rPr>
              <w:t>173</w:t>
            </w:r>
          </w:p>
        </w:tc>
        <w:tc>
          <w:tcPr>
            <w:tcW w:type="dxa" w:w="3324"/>
          </w:tcPr>
          <w:p>
            <w:r>
              <w:rPr>
                <w:sz w:val="18"/>
              </w:rPr>
              <w:t>100%</w:t>
            </w:r>
          </w:p>
        </w:tc>
      </w:tr>
    </w:tbl>
    <w:p>
      <w:pPr>
        <w:spacing w:after="60" w:line="312" w:lineRule="auto"/>
      </w:pPr>
      <w:r>
        <w:rPr>
          <w:b/>
        </w:rPr>
        <w:t>EN 21件の内訳</w:t>
      </w:r>
      <w:r>
        <w:t>: access_control_correctness 4件、leaky_accessor 2件、mutability_contract 2件、construction_contract 3件、invariant_surface 4件（TGT-01〜05分）+ TGT-06〜08 拡張分6件。</w:t>
      </w:r>
    </w:p>
    <w:p>
      <w:pPr>
        <w:spacing w:after="60" w:line="312" w:lineRule="auto"/>
      </w:pPr>
      <w:r>
        <w:t xml:space="preserve">検出されたカプセル化リスクは計9件（high 3, medium 4, low 2）で、特に </w:t>
      </w:r>
      <w:r>
        <w:rPr>
          <w:rFonts w:ascii="Consolas" w:hAnsi="Consolas"/>
          <w:sz w:val="18"/>
        </w:rPr>
        <w:t>_NumberParamTypeBase._number_class</w:t>
      </w:r>
      <w:r>
        <w:t xml:space="preserve"> の派生設定不備（high, missing_validation）、</w:t>
      </w:r>
      <w:r>
        <w:rPr>
          <w:rFonts w:ascii="Consolas" w:hAnsi="Consolas"/>
          <w:sz w:val="18"/>
        </w:rPr>
        <w:t>IntRange.min/max</w:t>
      </w:r>
      <w:r>
        <w:t xml:space="preserve"> の外部変異（high, external_mutation）、</w:t>
      </w:r>
      <w:r>
        <w:rPr>
          <w:rFonts w:ascii="Consolas" w:hAnsi="Consolas"/>
          <w:sz w:val="18"/>
        </w:rPr>
        <w:t>Choice.choices</w:t>
      </w:r>
      <w:r>
        <w:t xml:space="preserve"> の意図しない再代入可能性（medium, unintended_mutability）が代表である。</w:t>
      </w:r>
    </w:p>
    <w:p>
      <w:pPr>
        <w:pStyle w:val="Heading2"/>
      </w:pPr>
      <w:r>
        <w:t>6.3 既存テストとの網羅比較（click）</w:t>
      </w:r>
    </w:p>
    <w:p>
      <w:pPr>
        <w:spacing w:after="60" w:line="312" w:lineRule="auto"/>
      </w:pPr>
      <w:r>
        <w:t xml:space="preserve">click の </w:t>
      </w:r>
      <w:r>
        <w:rPr>
          <w:rFonts w:ascii="Consolas" w:hAnsi="Consolas"/>
          <w:sz w:val="18"/>
        </w:rPr>
        <w:t>tests/test_types.py</w:t>
      </w:r>
      <w:r>
        <w:t>（11関数・計約30のパラメータ化ケース）と本 TRM 173件をマッピングした結果、カバー重複率は約5.8%（10件）、TRM 固有カバー率は約86.7%（150件）であった。種別別 GAP 率は以下のとおり:</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8"/>
              </w:rPr>
              <w:t>種別</w:t>
            </w:r>
          </w:p>
        </w:tc>
        <w:tc>
          <w:tcPr>
            <w:tcW w:type="dxa" w:w="2493"/>
          </w:tcPr>
          <w:p>
            <w:r>
              <w:rPr>
                <w:b/>
                <w:sz w:val="18"/>
              </w:rPr>
              <w:t>TRM 件数</w:t>
            </w:r>
          </w:p>
        </w:tc>
        <w:tc>
          <w:tcPr>
            <w:tcW w:type="dxa" w:w="2493"/>
          </w:tcPr>
          <w:p>
            <w:r>
              <w:rPr>
                <w:b/>
                <w:sz w:val="18"/>
              </w:rPr>
              <w:t>既存テストで未検証</w:t>
            </w:r>
          </w:p>
        </w:tc>
        <w:tc>
          <w:tcPr>
            <w:tcW w:type="dxa" w:w="2493"/>
          </w:tcPr>
          <w:p>
            <w:r>
              <w:rPr>
                <w:b/>
                <w:sz w:val="18"/>
              </w:rPr>
              <w:t>GAP 率</w:t>
            </w:r>
          </w:p>
        </w:tc>
      </w:tr>
      <w:tr>
        <w:tc>
          <w:tcPr>
            <w:tcW w:type="dxa" w:w="2493"/>
          </w:tcPr>
          <w:p>
            <w:r>
              <w:rPr>
                <w:sz w:val="18"/>
              </w:rPr>
              <w:t>BR</w:t>
            </w:r>
          </w:p>
        </w:tc>
        <w:tc>
          <w:tcPr>
            <w:tcW w:type="dxa" w:w="2493"/>
          </w:tcPr>
          <w:p>
            <w:r>
              <w:rPr>
                <w:sz w:val="18"/>
              </w:rPr>
              <w:t>47</w:t>
            </w:r>
          </w:p>
        </w:tc>
        <w:tc>
          <w:tcPr>
            <w:tcW w:type="dxa" w:w="2493"/>
          </w:tcPr>
          <w:p>
            <w:r>
              <w:rPr>
                <w:sz w:val="18"/>
              </w:rPr>
              <w:t>40</w:t>
            </w:r>
          </w:p>
        </w:tc>
        <w:tc>
          <w:tcPr>
            <w:tcW w:type="dxa" w:w="2493"/>
          </w:tcPr>
          <w:p>
            <w:r>
              <w:rPr>
                <w:sz w:val="18"/>
              </w:rPr>
              <w:t>85.1%</w:t>
            </w:r>
          </w:p>
        </w:tc>
      </w:tr>
      <w:tr>
        <w:tc>
          <w:tcPr>
            <w:tcW w:type="dxa" w:w="2493"/>
          </w:tcPr>
          <w:p>
            <w:r>
              <w:rPr>
                <w:sz w:val="18"/>
              </w:rPr>
              <w:t>EC</w:t>
            </w:r>
          </w:p>
        </w:tc>
        <w:tc>
          <w:tcPr>
            <w:tcW w:type="dxa" w:w="2493"/>
          </w:tcPr>
          <w:p>
            <w:r>
              <w:rPr>
                <w:sz w:val="18"/>
              </w:rPr>
              <w:t>22</w:t>
            </w:r>
          </w:p>
        </w:tc>
        <w:tc>
          <w:tcPr>
            <w:tcW w:type="dxa" w:w="2493"/>
          </w:tcPr>
          <w:p>
            <w:r>
              <w:rPr>
                <w:sz w:val="18"/>
              </w:rPr>
              <w:t>21</w:t>
            </w:r>
          </w:p>
        </w:tc>
        <w:tc>
          <w:tcPr>
            <w:tcW w:type="dxa" w:w="2493"/>
          </w:tcPr>
          <w:p>
            <w:r>
              <w:rPr>
                <w:sz w:val="18"/>
              </w:rPr>
              <w:t>95.5%</w:t>
            </w:r>
          </w:p>
        </w:tc>
      </w:tr>
      <w:tr>
        <w:tc>
          <w:tcPr>
            <w:tcW w:type="dxa" w:w="2493"/>
          </w:tcPr>
          <w:p>
            <w:r>
              <w:rPr>
                <w:sz w:val="18"/>
              </w:rPr>
              <w:t>BV</w:t>
            </w:r>
          </w:p>
        </w:tc>
        <w:tc>
          <w:tcPr>
            <w:tcW w:type="dxa" w:w="2493"/>
          </w:tcPr>
          <w:p>
            <w:r>
              <w:rPr>
                <w:sz w:val="18"/>
              </w:rPr>
              <w:t>11</w:t>
            </w:r>
          </w:p>
        </w:tc>
        <w:tc>
          <w:tcPr>
            <w:tcW w:type="dxa" w:w="2493"/>
          </w:tcPr>
          <w:p>
            <w:r>
              <w:rPr>
                <w:sz w:val="18"/>
              </w:rPr>
              <w:t>6</w:t>
            </w:r>
          </w:p>
        </w:tc>
        <w:tc>
          <w:tcPr>
            <w:tcW w:type="dxa" w:w="2493"/>
          </w:tcPr>
          <w:p>
            <w:r>
              <w:rPr>
                <w:sz w:val="18"/>
              </w:rPr>
              <w:t>54.5%</w:t>
            </w:r>
          </w:p>
        </w:tc>
      </w:tr>
      <w:tr>
        <w:tc>
          <w:tcPr>
            <w:tcW w:type="dxa" w:w="2493"/>
          </w:tcPr>
          <w:p>
            <w:r>
              <w:rPr>
                <w:sz w:val="18"/>
              </w:rPr>
              <w:t>ER</w:t>
            </w:r>
          </w:p>
        </w:tc>
        <w:tc>
          <w:tcPr>
            <w:tcW w:type="dxa" w:w="2493"/>
          </w:tcPr>
          <w:p>
            <w:r>
              <w:rPr>
                <w:sz w:val="18"/>
              </w:rPr>
              <w:t>13</w:t>
            </w:r>
          </w:p>
        </w:tc>
        <w:tc>
          <w:tcPr>
            <w:tcW w:type="dxa" w:w="2493"/>
          </w:tcPr>
          <w:p>
            <w:r>
              <w:rPr>
                <w:sz w:val="18"/>
              </w:rPr>
              <w:t>12</w:t>
            </w:r>
          </w:p>
        </w:tc>
        <w:tc>
          <w:tcPr>
            <w:tcW w:type="dxa" w:w="2493"/>
          </w:tcPr>
          <w:p>
            <w:r>
              <w:rPr>
                <w:sz w:val="18"/>
              </w:rPr>
              <w:t>92.3%</w:t>
            </w:r>
          </w:p>
        </w:tc>
      </w:tr>
      <w:tr>
        <w:tc>
          <w:tcPr>
            <w:tcW w:type="dxa" w:w="2493"/>
          </w:tcPr>
          <w:p>
            <w:r>
              <w:rPr>
                <w:sz w:val="18"/>
              </w:rPr>
              <w:t>DP</w:t>
            </w:r>
          </w:p>
        </w:tc>
        <w:tc>
          <w:tcPr>
            <w:tcW w:type="dxa" w:w="2493"/>
          </w:tcPr>
          <w:p>
            <w:r>
              <w:rPr>
                <w:sz w:val="18"/>
              </w:rPr>
              <w:t>7</w:t>
            </w:r>
          </w:p>
        </w:tc>
        <w:tc>
          <w:tcPr>
            <w:tcW w:type="dxa" w:w="2493"/>
          </w:tcPr>
          <w:p>
            <w:r>
              <w:rPr>
                <w:sz w:val="18"/>
              </w:rPr>
              <w:t>7</w:t>
            </w:r>
          </w:p>
        </w:tc>
        <w:tc>
          <w:tcPr>
            <w:tcW w:type="dxa" w:w="2493"/>
          </w:tcPr>
          <w:p>
            <w:r>
              <w:rPr>
                <w:sz w:val="18"/>
              </w:rPr>
              <w:t>100%</w:t>
            </w:r>
          </w:p>
        </w:tc>
      </w:tr>
      <w:tr>
        <w:tc>
          <w:tcPr>
            <w:tcW w:type="dxa" w:w="2493"/>
          </w:tcPr>
          <w:p>
            <w:r>
              <w:rPr>
                <w:sz w:val="18"/>
              </w:rPr>
              <w:t>CI</w:t>
            </w:r>
          </w:p>
        </w:tc>
        <w:tc>
          <w:tcPr>
            <w:tcW w:type="dxa" w:w="2493"/>
          </w:tcPr>
          <w:p>
            <w:r>
              <w:rPr>
                <w:sz w:val="18"/>
              </w:rPr>
              <w:t>24</w:t>
            </w:r>
          </w:p>
        </w:tc>
        <w:tc>
          <w:tcPr>
            <w:tcW w:type="dxa" w:w="2493"/>
          </w:tcPr>
          <w:p>
            <w:r>
              <w:rPr>
                <w:sz w:val="18"/>
              </w:rPr>
              <w:t>22</w:t>
            </w:r>
          </w:p>
        </w:tc>
        <w:tc>
          <w:tcPr>
            <w:tcW w:type="dxa" w:w="2493"/>
          </w:tcPr>
          <w:p>
            <w:r>
              <w:rPr>
                <w:sz w:val="18"/>
              </w:rPr>
              <w:t>91.7%</w:t>
            </w:r>
          </w:p>
        </w:tc>
      </w:tr>
      <w:tr>
        <w:tc>
          <w:tcPr>
            <w:tcW w:type="dxa" w:w="2493"/>
          </w:tcPr>
          <w:p>
            <w:r>
              <w:rPr>
                <w:sz w:val="18"/>
              </w:rPr>
              <w:t>SV</w:t>
            </w:r>
          </w:p>
        </w:tc>
        <w:tc>
          <w:tcPr>
            <w:tcW w:type="dxa" w:w="2493"/>
          </w:tcPr>
          <w:p>
            <w:r>
              <w:rPr>
                <w:sz w:val="18"/>
              </w:rPr>
              <w:t>13</w:t>
            </w:r>
          </w:p>
        </w:tc>
        <w:tc>
          <w:tcPr>
            <w:tcW w:type="dxa" w:w="2493"/>
          </w:tcPr>
          <w:p>
            <w:r>
              <w:rPr>
                <w:sz w:val="18"/>
              </w:rPr>
              <w:t>13</w:t>
            </w:r>
          </w:p>
        </w:tc>
        <w:tc>
          <w:tcPr>
            <w:tcW w:type="dxa" w:w="2493"/>
          </w:tcPr>
          <w:p>
            <w:r>
              <w:rPr>
                <w:sz w:val="18"/>
              </w:rPr>
              <w:t>100%</w:t>
            </w:r>
          </w:p>
        </w:tc>
      </w:tr>
      <w:tr>
        <w:tc>
          <w:tcPr>
            <w:tcW w:type="dxa" w:w="2493"/>
          </w:tcPr>
          <w:p>
            <w:r>
              <w:rPr>
                <w:sz w:val="18"/>
              </w:rPr>
              <w:t>CP</w:t>
            </w:r>
          </w:p>
        </w:tc>
        <w:tc>
          <w:tcPr>
            <w:tcW w:type="dxa" w:w="2493"/>
          </w:tcPr>
          <w:p>
            <w:r>
              <w:rPr>
                <w:sz w:val="18"/>
              </w:rPr>
              <w:t>15</w:t>
            </w:r>
          </w:p>
        </w:tc>
        <w:tc>
          <w:tcPr>
            <w:tcW w:type="dxa" w:w="2493"/>
          </w:tcPr>
          <w:p>
            <w:r>
              <w:rPr>
                <w:sz w:val="18"/>
              </w:rPr>
              <w:t>14</w:t>
            </w:r>
          </w:p>
        </w:tc>
        <w:tc>
          <w:tcPr>
            <w:tcW w:type="dxa" w:w="2493"/>
          </w:tcPr>
          <w:p>
            <w:r>
              <w:rPr>
                <w:sz w:val="18"/>
              </w:rPr>
              <w:t>93.3%</w:t>
            </w:r>
          </w:p>
        </w:tc>
      </w:tr>
      <w:tr>
        <w:tc>
          <w:tcPr>
            <w:tcW w:type="dxa" w:w="2493"/>
          </w:tcPr>
          <w:p>
            <w:r>
              <w:rPr>
                <w:sz w:val="18"/>
              </w:rPr>
              <w:t>EN</w:t>
            </w:r>
          </w:p>
        </w:tc>
        <w:tc>
          <w:tcPr>
            <w:tcW w:type="dxa" w:w="2493"/>
          </w:tcPr>
          <w:p>
            <w:r>
              <w:rPr>
                <w:sz w:val="18"/>
              </w:rPr>
              <w:t>21</w:t>
            </w:r>
          </w:p>
        </w:tc>
        <w:tc>
          <w:tcPr>
            <w:tcW w:type="dxa" w:w="2493"/>
          </w:tcPr>
          <w:p>
            <w:r>
              <w:rPr>
                <w:sz w:val="18"/>
              </w:rPr>
              <w:t>20</w:t>
            </w:r>
          </w:p>
        </w:tc>
        <w:tc>
          <w:tcPr>
            <w:tcW w:type="dxa" w:w="2493"/>
          </w:tcPr>
          <w:p>
            <w:r>
              <w:rPr>
                <w:sz w:val="18"/>
              </w:rPr>
              <w:t>95.2%</w:t>
            </w:r>
          </w:p>
        </w:tc>
      </w:tr>
    </w:tbl>
    <w:p>
      <w:pPr>
        <w:spacing w:after="60" w:line="312" w:lineRule="auto"/>
      </w:pPr>
      <w:r>
        <w:t>既存テストは IntRange/FloatRange の動作検証（BR・BV）に集中しており、構造観点（CI/SV/CP/EN）への対応はほぼ存在しない。本手法の追加観点検出効果が定量的に示された。</w:t>
      </w:r>
    </w:p>
    <w:p>
      <w:pPr>
        <w:pStyle w:val="Heading2"/>
      </w:pPr>
      <w:r>
        <w:t>6.4 可視化レイヤの自動生成</w:t>
      </w:r>
    </w:p>
    <w:p>
      <w:pPr>
        <w:spacing w:after="60" w:line="312" w:lineRule="auto"/>
      </w:pPr>
      <w:r>
        <w:t>可視化パイプライン (</w:t>
      </w:r>
      <w:r>
        <w:rPr>
          <w:rFonts w:ascii="Consolas" w:hAnsi="Consolas"/>
          <w:sz w:val="18"/>
        </w:rPr>
        <w:t>scripts/generate_visualization_pdf.py</w:t>
      </w:r>
      <w:r>
        <w:t xml:space="preserve">) を3対象（click 8ターゲット、sakura 8関数、reversi 4関数）に適用した。各対象について </w:t>
      </w:r>
      <w:r>
        <w:rPr>
          <w:b/>
        </w:rPr>
        <w:t>2ページ構成の PDF</w:t>
      </w:r>
      <w:r>
        <w:t xml:space="preserve"> が自動生成される:</w:t>
      </w:r>
    </w:p>
    <w:p>
      <w:pPr>
        <w:pStyle w:val="ListBullet"/>
      </w:pPr>
      <w:r>
        <w:t>ページ1（エンジニア向け）: Sunburst / Sankey / Heatmap / Chord の4枠</w:t>
      </w:r>
    </w:p>
    <w:p>
      <w:pPr>
        <w:pStyle w:val="ListBullet"/>
      </w:pPr>
      <w:r>
        <w:t>ページ2（非エンジニア向け）: 機能分類ジオラマ（3D擬似等角投影）＋ 論文主張ダッシュボード3パネル</w:t>
      </w:r>
    </w:p>
    <w:p>
      <w:pPr>
        <w:spacing w:after="60" w:line="312" w:lineRule="auto"/>
      </w:pPr>
      <w:r>
        <w:t xml:space="preserve">代表例として click </w:t>
      </w:r>
      <w:r>
        <w:rPr>
          <w:rFonts w:ascii="Consolas" w:hAnsi="Consolas"/>
          <w:sz w:val="18"/>
        </w:rPr>
        <w:t>IntRange</w:t>
      </w:r>
      <w:r>
        <w:t xml:space="preserve"> の Heatmap（5フィールド × 7リスク種）では、</w:t>
      </w:r>
      <w:r>
        <w:rPr>
          <w:rFonts w:ascii="Consolas" w:hAnsi="Consolas"/>
          <w:sz w:val="18"/>
        </w:rPr>
        <w:t>min</w:t>
      </w:r>
      <w:r>
        <w:t>/</w:t>
      </w:r>
      <w:r>
        <w:rPr>
          <w:rFonts w:ascii="Consolas" w:hAnsi="Consolas"/>
          <w:sz w:val="18"/>
        </w:rPr>
        <w:t>max</w:t>
      </w:r>
      <w:r>
        <w:t xml:space="preserve"> の external_mutation（high）が赤ハイライトされ、構造的懸念が一目で伝わる形となった。同じ対象の機能分類ジオラマでは「範囲内判定 (min ≤ 値 ≤ max)」「境界モード選択 (&lt; か ≤ かを切替)」「範囲外の扱い (エラー or 境界値に丸め)」という具体的な日本語機能分類が3D空間に立体配置される。</w:t>
      </w:r>
    </w:p>
    <w:p>
      <w:pPr>
        <w:spacing w:after="60" w:line="312" w:lineRule="auto"/>
      </w:pPr>
      <w:r>
        <w:t>ダッシュボード3パネルは論文§6.3/§6.5/§6.7 の主張数値をそのまま図版化する。例えば click のページでは ① 既存テスト10件 vs TRM追加163件（GAP率86.7%）、② 可読率 24.3%、③ v3.1追加93件（EN高リスク3件）が横並びで表示される。これにより、査読者・読者は</w:t>
      </w:r>
      <w:r>
        <w:rPr>
          <w:b/>
        </w:rPr>
        <w:t>ページを開いた瞬間に論文の主張と定量データの対応を把握</w:t>
      </w:r>
      <w:r>
        <w:t>できる。</w:t>
      </w:r>
    </w:p>
    <w:p>
      <w:pPr>
        <w:spacing w:after="60" w:line="312" w:lineRule="auto"/>
      </w:pPr>
      <w:r>
        <w:t>合計で click 17頁・sakura 17頁・reversi 9頁の PDF が自動生成され、Agg バックエンドでの PNG ラスタ化により日本語・絵文字フォントの描画品質を確保した。</w:t>
      </w:r>
    </w:p>
    <w:p>
      <w:pPr>
        <w:pStyle w:val="Heading2"/>
      </w:pPr>
      <w:r>
        <w:t>6.5 可読率の自動分類結果</w:t>
      </w:r>
    </w:p>
    <w:p>
      <w:pPr>
        <w:spacing w:after="60" w:line="312" w:lineRule="auto"/>
      </w:pPr>
      <w:r>
        <w:t>ルールベース分類器を3対象に適用した結果を以下に示す:</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8"/>
              </w:rPr>
              <w:t>対象</w:t>
            </w:r>
          </w:p>
        </w:tc>
        <w:tc>
          <w:tcPr>
            <w:tcW w:type="dxa" w:w="1662"/>
          </w:tcPr>
          <w:p>
            <w:r>
              <w:rPr>
                <w:b/>
                <w:sz w:val="18"/>
              </w:rPr>
              <w:t>総数</w:t>
            </w:r>
          </w:p>
        </w:tc>
        <w:tc>
          <w:tcPr>
            <w:tcW w:type="dxa" w:w="1662"/>
          </w:tcPr>
          <w:p>
            <w:r>
              <w:rPr>
                <w:b/>
                <w:sz w:val="18"/>
              </w:rPr>
              <w:t>L1</w:t>
            </w:r>
          </w:p>
        </w:tc>
        <w:tc>
          <w:tcPr>
            <w:tcW w:type="dxa" w:w="1662"/>
          </w:tcPr>
          <w:p>
            <w:r>
              <w:rPr>
                <w:b/>
                <w:sz w:val="18"/>
              </w:rPr>
              <w:t>L2</w:t>
            </w:r>
          </w:p>
        </w:tc>
        <w:tc>
          <w:tcPr>
            <w:tcW w:type="dxa" w:w="1662"/>
          </w:tcPr>
          <w:p>
            <w:r>
              <w:rPr>
                <w:b/>
                <w:sz w:val="18"/>
              </w:rPr>
              <w:t>L3</w:t>
            </w:r>
          </w:p>
        </w:tc>
        <w:tc>
          <w:tcPr>
            <w:tcW w:type="dxa" w:w="1662"/>
          </w:tcPr>
          <w:p>
            <w:r>
              <w:rPr>
                <w:b/>
                <w:sz w:val="18"/>
              </w:rPr>
              <w:t>可読率 (L1+L2)</w:t>
            </w:r>
          </w:p>
        </w:tc>
      </w:tr>
      <w:tr>
        <w:tc>
          <w:tcPr>
            <w:tcW w:type="dxa" w:w="1662"/>
          </w:tcPr>
          <w:p>
            <w:r>
              <w:rPr>
                <w:sz w:val="18"/>
              </w:rPr>
              <w:t>reversi（合成・単純）</w:t>
            </w:r>
          </w:p>
        </w:tc>
        <w:tc>
          <w:tcPr>
            <w:tcW w:type="dxa" w:w="1662"/>
          </w:tcPr>
          <w:p>
            <w:r>
              <w:rPr>
                <w:sz w:val="18"/>
              </w:rPr>
              <w:t>46</w:t>
            </w:r>
          </w:p>
        </w:tc>
        <w:tc>
          <w:tcPr>
            <w:tcW w:type="dxa" w:w="1662"/>
          </w:tcPr>
          <w:p>
            <w:r>
              <w:rPr>
                <w:sz w:val="18"/>
              </w:rPr>
              <w:t>27</w:t>
            </w:r>
          </w:p>
        </w:tc>
        <w:tc>
          <w:tcPr>
            <w:tcW w:type="dxa" w:w="1662"/>
          </w:tcPr>
          <w:p>
            <w:r>
              <w:rPr>
                <w:sz w:val="18"/>
              </w:rPr>
              <w:t>18</w:t>
            </w:r>
          </w:p>
        </w:tc>
        <w:tc>
          <w:tcPr>
            <w:tcW w:type="dxa" w:w="1662"/>
          </w:tcPr>
          <w:p>
            <w:r>
              <w:rPr>
                <w:sz w:val="18"/>
              </w:rPr>
              <w:t>1</w:t>
            </w:r>
          </w:p>
        </w:tc>
        <w:tc>
          <w:tcPr>
            <w:tcW w:type="dxa" w:w="1662"/>
          </w:tcPr>
          <w:p>
            <w:r>
              <w:rPr>
                <w:sz w:val="18"/>
              </w:rPr>
              <w:t>97.8%</w:t>
            </w:r>
          </w:p>
        </w:tc>
      </w:tr>
      <w:tr>
        <w:tc>
          <w:tcPr>
            <w:tcW w:type="dxa" w:w="1662"/>
          </w:tcPr>
          <w:p>
            <w:r>
              <w:rPr>
                <w:sz w:val="18"/>
              </w:rPr>
              <w:t>sakura（実 OSS・手続き型・手動分類）</w:t>
            </w:r>
          </w:p>
        </w:tc>
        <w:tc>
          <w:tcPr>
            <w:tcW w:type="dxa" w:w="1662"/>
          </w:tcPr>
          <w:p>
            <w:r>
              <w:rPr>
                <w:sz w:val="18"/>
              </w:rPr>
              <w:t>99</w:t>
            </w:r>
          </w:p>
        </w:tc>
        <w:tc>
          <w:tcPr>
            <w:tcW w:type="dxa" w:w="1662"/>
          </w:tcPr>
          <w:p>
            <w:r>
              <w:rPr>
                <w:sz w:val="18"/>
              </w:rPr>
              <w:t>38</w:t>
            </w:r>
          </w:p>
        </w:tc>
        <w:tc>
          <w:tcPr>
            <w:tcW w:type="dxa" w:w="1662"/>
          </w:tcPr>
          <w:p>
            <w:r>
              <w:rPr>
                <w:sz w:val="18"/>
              </w:rPr>
              <w:t>27</w:t>
            </w:r>
          </w:p>
        </w:tc>
        <w:tc>
          <w:tcPr>
            <w:tcW w:type="dxa" w:w="1662"/>
          </w:tcPr>
          <w:p>
            <w:r>
              <w:rPr>
                <w:sz w:val="18"/>
              </w:rPr>
              <w:t>34</w:t>
            </w:r>
          </w:p>
        </w:tc>
        <w:tc>
          <w:tcPr>
            <w:tcW w:type="dxa" w:w="1662"/>
          </w:tcPr>
          <w:p>
            <w:r>
              <w:rPr>
                <w:sz w:val="18"/>
              </w:rPr>
              <w:t>65.7%</w:t>
            </w:r>
          </w:p>
        </w:tc>
      </w:tr>
      <w:tr>
        <w:tc>
          <w:tcPr>
            <w:tcW w:type="dxa" w:w="1662"/>
          </w:tcPr>
          <w:p>
            <w:r>
              <w:rPr>
                <w:sz w:val="18"/>
              </w:rPr>
              <w:t>pallets/click（実 OSS・OOP・v2辞書自動分類）</w:t>
            </w:r>
          </w:p>
        </w:tc>
        <w:tc>
          <w:tcPr>
            <w:tcW w:type="dxa" w:w="1662"/>
          </w:tcPr>
          <w:p>
            <w:r>
              <w:rPr>
                <w:sz w:val="18"/>
              </w:rPr>
              <w:t>173</w:t>
            </w:r>
          </w:p>
        </w:tc>
        <w:tc>
          <w:tcPr>
            <w:tcW w:type="dxa" w:w="1662"/>
          </w:tcPr>
          <w:p>
            <w:r>
              <w:rPr>
                <w:sz w:val="18"/>
              </w:rPr>
              <w:t>13</w:t>
            </w:r>
          </w:p>
        </w:tc>
        <w:tc>
          <w:tcPr>
            <w:tcW w:type="dxa" w:w="1662"/>
          </w:tcPr>
          <w:p>
            <w:r>
              <w:rPr>
                <w:sz w:val="18"/>
              </w:rPr>
              <w:t>29</w:t>
            </w:r>
          </w:p>
        </w:tc>
        <w:tc>
          <w:tcPr>
            <w:tcW w:type="dxa" w:w="1662"/>
          </w:tcPr>
          <w:p>
            <w:r>
              <w:rPr>
                <w:sz w:val="18"/>
              </w:rPr>
              <w:t>131</w:t>
            </w:r>
          </w:p>
        </w:tc>
        <w:tc>
          <w:tcPr>
            <w:tcW w:type="dxa" w:w="1662"/>
          </w:tcPr>
          <w:p>
            <w:r>
              <w:rPr>
                <w:sz w:val="18"/>
              </w:rPr>
              <w:t>24.3%</w:t>
            </w:r>
          </w:p>
        </w:tc>
      </w:tr>
    </w:tbl>
    <w:p>
      <w:pPr>
        <w:spacing w:after="60" w:line="312" w:lineRule="auto"/>
      </w:pPr>
      <w:r>
        <w:t>click の可読率 24.3% は、v1 辞書（45.7%）から50件サンプル手動検証を経て辞書を拡張した v2 辞書による分類結果である（§5.3 参照、50件サンプルで手動との一致率 98.0%）。click では EN が大幅に低く、これは内部 API 語彙（</w:t>
      </w:r>
      <w:r>
        <w:rPr>
          <w:rFonts w:ascii="Consolas" w:hAnsi="Consolas"/>
          <w:sz w:val="18"/>
        </w:rPr>
        <w:t>_number_class</w:t>
      </w:r>
      <w:r>
        <w:t xml:space="preserve">, </w:t>
      </w:r>
      <w:r>
        <w:rPr>
          <w:rFonts w:ascii="Consolas" w:hAnsi="Consolas"/>
          <w:sz w:val="18"/>
        </w:rPr>
        <w:t>__call__</w:t>
      </w:r>
      <w:r>
        <w:t xml:space="preserve">, </w:t>
      </w:r>
      <w:r>
        <w:rPr>
          <w:rFonts w:ascii="Consolas" w:hAnsi="Consolas"/>
          <w:sz w:val="18"/>
        </w:rPr>
        <w:t>AttributeError</w:t>
      </w:r>
      <w:r>
        <w:t xml:space="preserve">, </w:t>
      </w:r>
      <w:r>
        <w:rPr>
          <w:rFonts w:ascii="Consolas" w:hAnsi="Consolas"/>
          <w:sz w:val="18"/>
        </w:rPr>
        <w:t>ensure_object</w:t>
      </w:r>
      <w:r>
        <w:t xml:space="preserve"> 等）を多く含むためである。一方、BV は reversi と同様に比較的高く、境界値の記述は自然言語で表現しやすいことが示唆される。</w:t>
      </w:r>
    </w:p>
    <w:p>
      <w:pPr>
        <w:pStyle w:val="Heading2"/>
      </w:pPr>
      <w:r>
        <w:t>6.6 sakura CMemoryIterator への v3.1 適用（1クラス追加実証）</w:t>
      </w:r>
    </w:p>
    <w:p>
      <w:pPr>
        <w:spacing w:after="60" w:line="312" w:lineRule="auto"/>
      </w:pPr>
      <w:r>
        <w:t xml:space="preserve">sakura-editor の OOP 拡張適用可能性検証として、代表クラス </w:t>
      </w:r>
      <w:r>
        <w:rPr>
          <w:rFonts w:ascii="Consolas" w:hAnsi="Consolas"/>
          <w:sz w:val="18"/>
        </w:rPr>
        <w:t>CMemoryIterator</w:t>
      </w:r>
      <w:r>
        <w:t xml:space="preserve">（153行、1クラス、9フィールド、9メソッド）に v3.1 を適用した結果、48件の要求を導出した。種別別内訳は BR 10, EC 5, BV 3, ER 3, DP 3, CI 3, SV 10, CP 3, </w:t>
      </w:r>
      <w:r>
        <w:rPr>
          <w:b/>
        </w:rPr>
        <w:t>EN 8</w:t>
      </w:r>
      <w:r>
        <w:t xml:space="preserve"> である。</w:t>
      </w:r>
    </w:p>
    <w:p>
      <w:pPr>
        <w:spacing w:after="60" w:line="312" w:lineRule="auto"/>
      </w:pPr>
      <w:r>
        <w:t>特筆すべき検出事例として:</w:t>
      </w:r>
    </w:p>
    <w:p>
      <w:pPr>
        <w:pStyle w:val="ListBullet"/>
      </w:pPr>
      <w:r>
        <w:t>getCurrentPos() の漏洩アクセサ（high）: const wchar_t* で内部バッファ m_pLine へのポインタを返すため、caller 側で const_cast されると内部状態が汚染される。これは既存テストに対応観点がなく、本手法の EN が sakura でも新規検出を行った実例である。</w:t>
      </w:r>
    </w:p>
    <w:p>
      <w:pPr>
        <w:pStyle w:val="ListBullet"/>
      </w:pPr>
      <w:r>
        <w:t>const 戦略の妥当性（EN 合格）: コンストラクタで受け取った8フィールドを全て const 宣言しており、mutability_contract サブタイプで合格判定となった。click の Choice.choices が意図しない mutable であったのとは対照的である。</w:t>
      </w:r>
    </w:p>
    <w:p>
      <w:pPr>
        <w:pStyle w:val="ListBullet"/>
      </w:pPr>
      <w:r>
        <w:t>2コンストラクタの m_nIndent 初期化差異: CDocLine 版と CLayout 版で m_nIndent の初期化戦略が異なり、member_initialization_requirement（v3.1 新サブタイプ）で直接検証可能な観点となった。</w:t>
      </w:r>
    </w:p>
    <w:p>
      <w:pPr>
        <w:pStyle w:val="Heading2"/>
      </w:pPr>
      <w:r>
        <w:t>6.7 v3.1 の OOP 度合い依存効果</w:t>
      </w:r>
    </w:p>
    <w:p>
      <w:pPr>
        <w:spacing w:after="60" w:line="312" w:lineRule="auto"/>
      </w:pPr>
      <w:r>
        <w:t>sakura-editor 既存実証（手続き型中心）と click 実証（OOP 中心）の比較から、v3.1 の効果が対象の OOP 度合いに比例することが示唆される:</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8"/>
              </w:rPr>
              <w:t>対象</w:t>
            </w:r>
          </w:p>
        </w:tc>
        <w:tc>
          <w:tcPr>
            <w:tcW w:type="dxa" w:w="2493"/>
          </w:tcPr>
          <w:p>
            <w:r>
              <w:rPr>
                <w:b/>
                <w:sz w:val="18"/>
              </w:rPr>
              <w:t>v3.0 5種別</w:t>
            </w:r>
          </w:p>
        </w:tc>
        <w:tc>
          <w:tcPr>
            <w:tcW w:type="dxa" w:w="2493"/>
          </w:tcPr>
          <w:p>
            <w:r>
              <w:rPr>
                <w:b/>
                <w:sz w:val="18"/>
              </w:rPr>
              <w:t>v3.1 追加種別 (CI/SV/CP/EN)</w:t>
            </w:r>
          </w:p>
        </w:tc>
        <w:tc>
          <w:tcPr>
            <w:tcW w:type="dxa" w:w="2493"/>
          </w:tcPr>
          <w:p>
            <w:r>
              <w:rPr>
                <w:b/>
                <w:sz w:val="18"/>
              </w:rPr>
              <w:t>追加率</w:t>
            </w:r>
          </w:p>
        </w:tc>
      </w:tr>
      <w:tr>
        <w:tc>
          <w:tcPr>
            <w:tcW w:type="dxa" w:w="2493"/>
          </w:tcPr>
          <w:p>
            <w:r>
              <w:rPr>
                <w:sz w:val="18"/>
              </w:rPr>
              <w:t>sakura 既存（手続き型）</w:t>
            </w:r>
          </w:p>
        </w:tc>
        <w:tc>
          <w:tcPr>
            <w:tcW w:type="dxa" w:w="2493"/>
          </w:tcPr>
          <w:p>
            <w:r>
              <w:rPr>
                <w:sz w:val="18"/>
              </w:rPr>
              <w:t>99</w:t>
            </w:r>
          </w:p>
        </w:tc>
        <w:tc>
          <w:tcPr>
            <w:tcW w:type="dxa" w:w="2493"/>
          </w:tcPr>
          <w:p>
            <w:r>
              <w:rPr>
                <w:sz w:val="18"/>
              </w:rPr>
              <w:t>+7（retrospective）</w:t>
            </w:r>
          </w:p>
        </w:tc>
        <w:tc>
          <w:tcPr>
            <w:tcW w:type="dxa" w:w="2493"/>
          </w:tcPr>
          <w:p>
            <w:r>
              <w:rPr>
                <w:sz w:val="18"/>
              </w:rPr>
              <w:t>+7.1%</w:t>
            </w:r>
          </w:p>
        </w:tc>
      </w:tr>
      <w:tr>
        <w:tc>
          <w:tcPr>
            <w:tcW w:type="dxa" w:w="2493"/>
          </w:tcPr>
          <w:p>
            <w:r>
              <w:rPr>
                <w:sz w:val="18"/>
              </w:rPr>
              <w:t>sakura CMemoryIterator（OOP 単体）</w:t>
            </w:r>
          </w:p>
        </w:tc>
        <w:tc>
          <w:tcPr>
            <w:tcW w:type="dxa" w:w="2493"/>
          </w:tcPr>
          <w:p>
            <w:r>
              <w:rPr>
                <w:sz w:val="18"/>
              </w:rPr>
              <w:t>21</w:t>
            </w:r>
          </w:p>
        </w:tc>
        <w:tc>
          <w:tcPr>
            <w:tcW w:type="dxa" w:w="2493"/>
          </w:tcPr>
          <w:p>
            <w:r>
              <w:rPr>
                <w:sz w:val="18"/>
              </w:rPr>
              <w:t>+27</w:t>
            </w:r>
          </w:p>
        </w:tc>
        <w:tc>
          <w:tcPr>
            <w:tcW w:type="dxa" w:w="2493"/>
          </w:tcPr>
          <w:p>
            <w:r>
              <w:rPr>
                <w:sz w:val="18"/>
              </w:rPr>
              <w:t>+128%</w:t>
            </w:r>
          </w:p>
        </w:tc>
      </w:tr>
      <w:tr>
        <w:tc>
          <w:tcPr>
            <w:tcW w:type="dxa" w:w="2493"/>
          </w:tcPr>
          <w:p>
            <w:r>
              <w:rPr>
                <w:sz w:val="18"/>
              </w:rPr>
              <w:t>pallets/click（OOP 中心）</w:t>
            </w:r>
          </w:p>
        </w:tc>
        <w:tc>
          <w:tcPr>
            <w:tcW w:type="dxa" w:w="2493"/>
          </w:tcPr>
          <w:p>
            <w:r>
              <w:rPr>
                <w:sz w:val="18"/>
              </w:rPr>
              <w:t>80</w:t>
            </w:r>
          </w:p>
        </w:tc>
        <w:tc>
          <w:tcPr>
            <w:tcW w:type="dxa" w:w="2493"/>
          </w:tcPr>
          <w:p>
            <w:r>
              <w:rPr>
                <w:sz w:val="18"/>
              </w:rPr>
              <w:t>+51</w:t>
            </w:r>
          </w:p>
        </w:tc>
        <w:tc>
          <w:tcPr>
            <w:tcW w:type="dxa" w:w="2493"/>
          </w:tcPr>
          <w:p>
            <w:r>
              <w:rPr>
                <w:sz w:val="18"/>
              </w:rPr>
              <w:t>+63.8%</w:t>
            </w:r>
          </w:p>
        </w:tc>
      </w:tr>
    </w:tbl>
    <w:p>
      <w:pPr>
        <w:spacing w:after="60" w:line="312" w:lineRule="auto"/>
      </w:pPr>
      <w:r>
        <w:t>sakura 既存は手続き型に特化していたため v3.1 の差別化効果は限定的（+7.1%）、一方 click では +63.8% の追加要求が導出された。CMemoryIterator 単体では、v3.0 の5種別21件に対し OOP 拡張27件を追加し、1クラスあたり +128% と最大の追加率を示した。</w:t>
      </w:r>
    </w:p>
    <w:p>
      <w:pPr>
        <w:pStyle w:val="Heading1"/>
      </w:pPr>
      <w:r>
        <w:t>7. 考察</w:t>
      </w:r>
    </w:p>
    <w:p>
      <w:pPr>
        <w:pStyle w:val="Heading2"/>
      </w:pPr>
      <w:r>
        <w:t>7.1 研究の問い (1) への応答</w:t>
      </w:r>
    </w:p>
    <w:p>
      <w:pPr>
        <w:spacing w:after="60" w:line="312" w:lineRule="auto"/>
      </w:pPr>
      <w:r>
        <w:t xml:space="preserve">click 実証における既存テスト GAP 率 86.7% と、sakura CMemoryIterator における EN 8件の新規検出は、いずれも </w:t>
      </w:r>
      <w:r>
        <w:rPr>
          <w:b/>
        </w:rPr>
        <w:t>本手法が既存テストでは拾えない観点を体系的に導出する</w:t>
      </w:r>
      <w:r>
        <w:t xml:space="preserve"> ことを示す。特に構造設計観点（CI/SV/CP/EN）は既存テストでの対応率が10%未満と低く、本手法を既存テスト補完として導入する意義が大きい。v3.1 の EN は他3種（CI/SV/CP）では表現できなかった「カプセル化の整合性」を唯一正面から扱うため、構造設計の監査層として独立した価値を持つ。</w:t>
      </w:r>
    </w:p>
    <w:p>
      <w:pPr>
        <w:spacing w:after="60" w:line="312" w:lineRule="auto"/>
      </w:pPr>
      <w:r>
        <w:t>確認対象領域の十分性という問いに対する本研究の応答は、</w:t>
      </w:r>
      <w:r>
        <w:rPr>
          <w:b/>
        </w:rPr>
        <w:t>「既存テスト + TRM ≒ より十分」</w:t>
      </w:r>
      <w:r>
        <w:t xml:space="preserve"> という補完的関係の定量化である。これは本手法を既存プロセスに置き換えるのではなく、</w:t>
      </w:r>
      <w:r>
        <w:rPr>
          <w:b/>
        </w:rPr>
        <w:t>既存テストに上乗せする形で導入する</w:t>
      </w:r>
      <w:r>
        <w:t xml:space="preserve"> 運用モデルを示唆する。</w:t>
      </w:r>
    </w:p>
    <w:p>
      <w:pPr>
        <w:pStyle w:val="Heading2"/>
      </w:pPr>
      <w:r>
        <w:t>7.2 研究の問い (2) への応答</w:t>
      </w:r>
    </w:p>
    <w:p>
      <w:pPr>
        <w:spacing w:after="60" w:line="312" w:lineRule="auto"/>
      </w:pPr>
      <w:r>
        <w:t>可読率の自動分類結果は、</w:t>
      </w:r>
      <w:r>
        <w:rPr>
          <w:b/>
        </w:rPr>
        <w:t>対象ドメインの技術性に強く依存する</w:t>
      </w:r>
      <w:r>
        <w:t xml:space="preserve"> ことを示した。合成題材（reversi）では97.8%、手続き型 OSS（sakura）では65.7%、OOP 中心 OSS（click）では45.7%と、対象の抽象度が高くなるほど可読率が低下する。</w:t>
      </w:r>
    </w:p>
    <w:p>
      <w:pPr>
        <w:spacing w:after="60" w:line="312" w:lineRule="auto"/>
      </w:pPr>
      <w:r>
        <w:t>この結果は一見、click のような OOP コードでは非エンジニアへの伝達が困難であることを示すように見える。しかし、可視化レイヤを経由した Summary 層（Sunburst の上位階層、ユースケース図レベル）を併用する運用では、</w:t>
      </w:r>
      <w:r>
        <w:rPr>
          <w:b/>
        </w:rPr>
        <w:t>非エンジニアは詳細 TRM 全体を読まずとも、要求の種別分布と代表的観点のみで全体像を把握可能</w:t>
      </w:r>
      <w:r>
        <w:t xml:space="preserve"> である。この階層的情報開示こそが本手法の価値である。</w:t>
      </w:r>
    </w:p>
    <w:p>
      <w:pPr>
        <w:spacing w:after="60" w:line="312" w:lineRule="auto"/>
      </w:pPr>
      <w:r>
        <w:t>したがって問い (2) への応答は、</w:t>
      </w:r>
      <w:r>
        <w:rPr>
          <w:b/>
        </w:rPr>
        <w:t>「TRM そのものは常に全員可読ではないが、可視化レイヤを通じて Summary 層のみを共有する運用では非エンジニアにも伝わる」</w:t>
      </w:r>
      <w:r>
        <w:t xml:space="preserve"> という条件付きの肯定である。</w:t>
      </w:r>
    </w:p>
    <w:p>
      <w:pPr>
        <w:pStyle w:val="Heading2"/>
      </w:pPr>
      <w:r>
        <w:t>7.3 v3.1 の価値と限界</w:t>
      </w:r>
    </w:p>
    <w:p>
      <w:pPr>
        <w:spacing w:after="60" w:line="312" w:lineRule="auto"/>
      </w:pPr>
      <w:r>
        <w:t xml:space="preserve">v3.1 の EN 追加は、OOP 中心コードで顕著な価値を示した（click +63.8%、CMemoryIterator +128%）。一方、手続き型中心コードでは限定的である（sakura 既存 +7.1%）。これは v3.1 の価値が </w:t>
      </w:r>
      <w:r>
        <w:rPr>
          <w:b/>
        </w:rPr>
        <w:t>対象のコード特性に依存</w:t>
      </w:r>
      <w:r>
        <w:t xml:space="preserve"> することを意味し、導入判断には対象の設計スタイルの事前評価が必要である。</w:t>
      </w:r>
    </w:p>
    <w:p>
      <w:pPr>
        <w:spacing w:after="60" w:line="312" w:lineRule="auto"/>
      </w:pPr>
      <w:r>
        <w:t>限界として、EN の検出はスキーマ上の仕組みであって、</w:t>
      </w:r>
      <w:r>
        <w:rPr>
          <w:b/>
        </w:rPr>
        <w:t>検出されたリスクが実際の bug に繋がるかは別の問題</w:t>
      </w:r>
      <w:r>
        <w:t xml:space="preserve"> である。本稿の EN 要求群は「検証すべき観点」であって「検出された欠陥」ではない。実 bug との相関は今後の課題である。</w:t>
      </w:r>
    </w:p>
    <w:p>
      <w:pPr>
        <w:pStyle w:val="Heading2"/>
      </w:pPr>
      <w:r>
        <w:t>7.4 可視化レイヤの効果</w:t>
      </w:r>
    </w:p>
    <w:p>
      <w:pPr>
        <w:spacing w:after="60" w:line="312" w:lineRule="auto"/>
      </w:pPr>
      <w:r>
        <w:t>エンジニア向け4種図式（Sunburst・Sankey・Heatmap・Chord）は相補的に機能し、それぞれ異なる情報粒度を担う:</w:t>
      </w:r>
    </w:p>
    <w:p>
      <w:pPr>
        <w:pStyle w:val="ListBullet"/>
      </w:pPr>
      <w:r>
        <w:t>Sunburst は 全体像の把握 に有効で、新規 TRM を最初に見る際の導入に適する。</w:t>
      </w:r>
    </w:p>
    <w:p>
      <w:pPr>
        <w:pStyle w:val="ListBullet"/>
      </w:pPr>
      <w:r>
        <w:t>Sankey は 種別分布の可視化 により、どの観点に要求が集中しているかを瞬時に伝える。</w:t>
      </w:r>
    </w:p>
    <w:p>
      <w:pPr>
        <w:pStyle w:val="ListBullet"/>
      </w:pPr>
      <w:r>
        <w:t>Heatmap は 複合影響の定量 に最も強く、click IntRange のような設定フラグ組合せの多い対象で威力を発揮する。</w:t>
      </w:r>
    </w:p>
    <w:p>
      <w:pPr>
        <w:pStyle w:val="ListBullet"/>
      </w:pPr>
      <w:r>
        <w:t>Chord は 禁忌組合せの強調 に有効で、FloatRange + clamp + open_bound のような設計上の禁止事項を線種で直接表現できる。</w:t>
      </w:r>
    </w:p>
    <w:p>
      <w:pPr>
        <w:spacing w:after="60" w:line="312" w:lineRule="auto"/>
      </w:pPr>
      <w:r>
        <w:t xml:space="preserve">これに加え、本研究では </w:t>
      </w:r>
      <w:r>
        <w:rPr>
          <w:b/>
        </w:rPr>
        <w:t>非エンジニア向けの機能分類ジオラマ</w:t>
      </w:r>
      <w:r>
        <w:t xml:space="preserve"> と </w:t>
      </w:r>
      <w:r>
        <w:rPr>
          <w:b/>
        </w:rPr>
        <w:t>論文主張ダッシュボード3パネル</w:t>
      </w:r>
      <w:r>
        <w:t xml:space="preserve"> を同一ページに統合した。この設計により、次の効果が得られる:</w:t>
      </w:r>
    </w:p>
    <w:p>
      <w:pPr>
        <w:pStyle w:val="ListNumber"/>
      </w:pPr>
      <w:r>
        <w:t>非エンジニアへの伝達性: 機能分類ジオラマの3層構造と日本語2段ラベル（抽象名＋具体的検証内容）により、コードを読めない読者でも対象関数の目的・処理・検証観点を把握できる。これは §6.5 で示した可読率（reversi 97.8%、sakura 65.7%、click 24.3%）のうち L3 相当に位置づけられる詳細層をジオラマが補完する役割を持つ。</w:t>
      </w:r>
    </w:p>
    <w:p>
      <w:pPr>
        <w:pStyle w:val="ListNumber"/>
      </w:pPr>
      <w:r>
        <w:t>論文主張との直接対応: ダッシュボード3パネルは §6.3 GAP率、§6.5 可読率、§6.7 v3.1 OOP拡張効果 と1対1に対応する。これにより査読者・読者は「どのページで何が主張されているか」をページを開いた瞬間に把握できる。</w:t>
      </w:r>
    </w:p>
    <w:p>
      <w:pPr>
        <w:pStyle w:val="ListNumber"/>
      </w:pPr>
      <w:r>
        <w:t>対象特性に応じた適応: 手続き型対象では Heatmap/Chord が代替表示（要求種別×優先度、依存関係マップ）に切り替わり、OOP 対象では EN検出リスクが前面に出る。これにより 対象の設計スタイルを問わず一貫した形式で情報提供 が可能になる。</w:t>
      </w:r>
    </w:p>
    <w:p>
      <w:pPr>
        <w:spacing w:after="60" w:line="312" w:lineRule="auto"/>
      </w:pPr>
      <w:r>
        <w:t>3D グラフは一般の3次元散布・曲面プロットについては遮蔽・歪み・静的媒体不適合により 2D に劣ると判断し不採用とした。本研究で採用した擬似3Dは、機能分類ジオラマにおける等角投影による層構造の立体表現に限定しており、視認性を損なわずに情報階層を伝える手段として機能している。Tufte [22] の視覚化原則（情報量を装飾で増やさない）との整合性を保ちつつ、非エンジニア向けに限定的に3D表現を導入した点が、本研究の可視化設計の要諦である。</w:t>
      </w:r>
    </w:p>
    <w:p>
      <w:pPr>
        <w:pStyle w:val="Heading2"/>
      </w:pPr>
      <w:r>
        <w:t>7.5 妥当性への脅威</w:t>
      </w:r>
    </w:p>
    <w:p>
      <w:pPr>
        <w:spacing w:after="60" w:line="312" w:lineRule="auto"/>
      </w:pPr>
      <w:r>
        <w:rPr>
          <w:b/>
        </w:rPr>
        <w:t>内的妥当性</w:t>
      </w:r>
      <w:r>
        <w:t>:</w:t>
      </w:r>
    </w:p>
    <w:p>
      <w:pPr>
        <w:pStyle w:val="ListBullet"/>
      </w:pPr>
      <w:r>
        <w:t>ルールベース可読性分類器は決定的だが、個別要求の誤分類は避けられない。特に L2 キーワード辞書の網羅性は経験的であり、対象ドメインごとに拡張を要する。</w:t>
      </w:r>
    </w:p>
    <w:p>
      <w:pPr>
        <w:pStyle w:val="ListBullet"/>
      </w:pPr>
      <w:r>
        <w:t>TRM 生成は LLM（本研究では Claude）による支援を受けており、生成の一貫性には揺らぎがある。同じ入力から同じ出力を保証する決定的パイプラインではない。</w:t>
      </w:r>
    </w:p>
    <w:p>
      <w:pPr>
        <w:spacing w:after="60" w:line="312" w:lineRule="auto"/>
      </w:pPr>
      <w:r>
        <w:rPr>
          <w:b/>
        </w:rPr>
        <w:t>外的妥当性</w:t>
      </w:r>
      <w:r>
        <w:t>:</w:t>
      </w:r>
    </w:p>
    <w:p>
      <w:pPr>
        <w:pStyle w:val="ListBullet"/>
      </w:pPr>
      <w:r>
        <w:t>2 言語（C++、Python）・3対象での実証であり、他言語（Java、TypeScript、Go、Rust 等）への一般化は追加実証を要する。</w:t>
      </w:r>
    </w:p>
    <w:p>
      <w:pPr>
        <w:pStyle w:val="ListBullet"/>
      </w:pPr>
      <w:r>
        <w:t>アンケート回答者は想定30名規模で、母集団の偏りが結果に影響する可能性がある。</w:t>
      </w:r>
    </w:p>
    <w:p>
      <w:pPr>
        <w:spacing w:after="60" w:line="312" w:lineRule="auto"/>
      </w:pPr>
      <w:r>
        <w:rPr>
          <w:b/>
        </w:rPr>
        <w:t>構成概念妥当性</w:t>
      </w:r>
      <w:r>
        <w:t>:</w:t>
      </w:r>
    </w:p>
    <w:p>
      <w:pPr>
        <w:pStyle w:val="ListBullet"/>
      </w:pPr>
      <w:r>
        <w:t>「可読率」は3レベル分類の集計であって、真の「非エンジニアの理解度」とは完全には一致しない。アンケート実施後に両者の相関を検証することが必要である。</w:t>
      </w:r>
    </w:p>
    <w:p>
      <w:pPr>
        <w:pStyle w:val="Heading1"/>
      </w:pPr>
      <w:r>
        <w:t>8. 結論と今後の課題</w:t>
      </w:r>
    </w:p>
    <w:p>
      <w:pPr>
        <w:pStyle w:val="Heading2"/>
      </w:pPr>
      <w:r>
        <w:t>8.1 まとめ</w:t>
      </w:r>
    </w:p>
    <w:p>
      <w:pPr>
        <w:spacing w:after="60" w:line="312" w:lineRule="auto"/>
      </w:pPr>
      <w:r>
        <w:t>本研究は、AI 駆動開発時代におけるホワイトボックス品質情報の可読性ギャップに対し、テスト要求モデル（TRM）を中間成果物とする手法を提案・実証した。主要な成果は次の5点である:</w:t>
      </w:r>
    </w:p>
    <w:p>
      <w:pPr>
        <w:pStyle w:val="ListNumber"/>
      </w:pPr>
      <w:r>
        <w:t>TRM スキーマ v3.1 を設計し、新種別 EN（カプセル化）を追加</w:t>
      </w:r>
    </w:p>
    <w:p>
      <w:pPr>
        <w:pStyle w:val="ListNumber"/>
      </w:pPr>
      <w:r>
        <w:t>TRM YAML から4種の図式を自動生成する可視化レイヤを実装</w:t>
      </w:r>
    </w:p>
    <w:p>
      <w:pPr>
        <w:pStyle w:val="ListNumber"/>
      </w:pPr>
      <w:r>
        <w:t>C++（sakura-editor）と Python（pallets/click）の2実証により手法の汎用性を確認</w:t>
      </w:r>
    </w:p>
    <w:p>
      <w:pPr>
        <w:pStyle w:val="ListNumber"/>
      </w:pPr>
      <w:r>
        <w:t>既存テストに対する追加観点検出率 86.7% を定量化</w:t>
      </w:r>
    </w:p>
    <w:p>
      <w:pPr>
        <w:pStyle w:val="ListNumber"/>
      </w:pPr>
      <w:r>
        <w:t>可読性の自動分類により、ドメイン依存性（reversi 97.8%、sakura 65.7%、click 45.7%）を明らかに</w:t>
      </w:r>
    </w:p>
    <w:p>
      <w:pPr>
        <w:spacing w:after="60" w:line="312" w:lineRule="auto"/>
      </w:pPr>
      <w:r>
        <w:t>v3.1 の EN 種別は、既存 CI/SV/CP では表現できなかった構造設計観点を抽出し、click で21件、sakura CMemoryIterator で8件の新規要求を導出した。検出されたカプセル化リスクは既存テストでカバーされない設計上の懸念（漏洩アクセサ、構築契約不備、外部変異の可能性）を含み、本手法が既存テスト補完として機能することを示した。</w:t>
      </w:r>
    </w:p>
    <w:p>
      <w:pPr>
        <w:pStyle w:val="Heading2"/>
      </w:pPr>
      <w:r>
        <w:t>8.2 今後の課題</w:t>
      </w:r>
    </w:p>
    <w:p>
      <w:pPr>
        <w:spacing w:after="60" w:line="312" w:lineRule="auto"/>
      </w:pPr>
      <w:r>
        <w:rPr>
          <w:b/>
        </w:rPr>
        <w:t>短期（論文投稿直前まで）:</w:t>
      </w:r>
    </w:p>
    <w:p>
      <w:pPr>
        <w:pStyle w:val="ListBullet"/>
      </w:pPr>
      <w:r>
        <w:t>アンケート実施と統計検定（χ²・t 検定・ANOVA）による仮説検証</w:t>
      </w:r>
    </w:p>
    <w:p>
      <w:pPr>
        <w:pStyle w:val="ListBullet"/>
      </w:pPr>
      <w:r>
        <w:t>可読性自動分類の手動検証（50件サンプリング）</w:t>
      </w:r>
    </w:p>
    <w:p>
      <w:pPr>
        <w:pStyle w:val="ListBullet"/>
      </w:pPr>
      <w:r>
        <w:t>sakura OOP 追加クラス（CFilePath、CNativeW 等）での実測拡張</w:t>
      </w:r>
    </w:p>
    <w:p>
      <w:pPr>
        <w:spacing w:after="60" w:line="312" w:lineRule="auto"/>
      </w:pPr>
      <w:r>
        <w:rPr>
          <w:b/>
        </w:rPr>
        <w:t>中期（次稿まで）:</w:t>
      </w:r>
    </w:p>
    <w:p>
      <w:pPr>
        <w:pStyle w:val="ListBullet"/>
      </w:pPr>
      <w:r>
        <w:t>TypeScript（zod）・Java（Gson）・Go・Rust への適用拡大</w:t>
      </w:r>
    </w:p>
    <w:p>
      <w:pPr>
        <w:pStyle w:val="ListBullet"/>
      </w:pPr>
      <w:r>
        <w:t>LLM 分類とルールベース分類の3通り比較</w:t>
      </w:r>
    </w:p>
    <w:p>
      <w:pPr>
        <w:pStyle w:val="ListBullet"/>
      </w:pPr>
      <w:r>
        <w:t>検出された EN リスクと実 bug との相関分析</w:t>
      </w:r>
    </w:p>
    <w:p>
      <w:pPr>
        <w:spacing w:after="60" w:line="312" w:lineRule="auto"/>
      </w:pPr>
      <w:r>
        <w:rPr>
          <w:b/>
        </w:rPr>
        <w:t>長期:</w:t>
      </w:r>
    </w:p>
    <w:p>
      <w:pPr>
        <w:pStyle w:val="ListBullet"/>
      </w:pPr>
      <w:r>
        <w:t>可視化レイヤのインタラクティブ化（Web ベース UI）</w:t>
      </w:r>
    </w:p>
    <w:p>
      <w:pPr>
        <w:pStyle w:val="ListBullet"/>
      </w:pPr>
      <w:r>
        <w:t>既存テストスイートとの統合 CI/CD パイプライン化</w:t>
      </w:r>
    </w:p>
    <w:p>
      <w:pPr>
        <w:pStyle w:val="ListBullet"/>
      </w:pPr>
      <w:r>
        <w:t>非エンジニアが TRM を直接編集できる WYSIWYG エディタの開発</w:t>
      </w:r>
    </w:p>
    <w:p>
      <w:pPr>
        <w:spacing w:after="60" w:line="312" w:lineRule="auto"/>
      </w:pPr>
      <w:r>
        <w:t>本研究が LLM 時代のホワイトボックス品質保証に資する方向性を示し、実装領域の品質情報を要求作成ロールと共有する実践的基盤として発展することを期待する。</w:t>
      </w:r>
    </w:p>
    <w:p>
      <w:pPr>
        <w:pStyle w:val="Heading1"/>
      </w:pPr>
      <w:r>
        <w:t>謝辞</w:t>
      </w:r>
    </w:p>
    <w:p>
      <w:pPr>
        <w:spacing w:after="60" w:line="312" w:lineRule="auto"/>
      </w:pPr>
      <w:r>
        <w:t>本研究は [所属組織名] の支援を受けて実施した。sakura-editor と pallets/click のオープンソースコミュニティ、ならびに匿名の査読者に感謝する。</w:t>
      </w:r>
    </w:p>
    <w:p>
      <w:pPr>
        <w:pStyle w:val="Heading1"/>
      </w:pPr>
      <w:r>
        <w:t>参考文献</w:t>
      </w:r>
    </w:p>
    <w:p>
      <w:pPr>
        <w:pStyle w:val="Heading2"/>
      </w:pPr>
      <w:r>
        <w:t>A. テスト設計の古典</w:t>
      </w:r>
    </w:p>
    <w:p>
      <w:pPr>
        <w:spacing w:after="60" w:line="312" w:lineRule="auto"/>
      </w:pPr>
      <w:r>
        <w:t xml:space="preserve">[1] G. J. Myers, </w:t>
      </w:r>
      <w:r>
        <w:rPr>
          <w:i/>
        </w:rPr>
        <w:t>The Art of Software Testing</w:t>
      </w:r>
      <w:r>
        <w:t xml:space="preserve"> (3rd ed.), Wiley, 2011.</w:t>
      </w:r>
    </w:p>
    <w:p>
      <w:pPr>
        <w:spacing w:after="60" w:line="312" w:lineRule="auto"/>
      </w:pPr>
      <w:r>
        <w:t xml:space="preserve">[2] B. Beizer, </w:t>
      </w:r>
      <w:r>
        <w:rPr>
          <w:i/>
        </w:rPr>
        <w:t>Software Testing Techniques</w:t>
      </w:r>
      <w:r>
        <w:t xml:space="preserve"> (2nd ed.), Van Nostrand Reinhold, 1990.</w:t>
      </w:r>
    </w:p>
    <w:p>
      <w:pPr>
        <w:spacing w:after="60" w:line="312" w:lineRule="auto"/>
      </w:pPr>
      <w:r>
        <w:t xml:space="preserve">[3] ISTQB, </w:t>
      </w:r>
      <w:r>
        <w:rPr>
          <w:i/>
        </w:rPr>
        <w:t>Certified Tester Foundation Level Syllabus</w:t>
      </w:r>
      <w:r>
        <w:t>, 2023.</w:t>
      </w:r>
    </w:p>
    <w:p>
      <w:pPr>
        <w:pStyle w:val="Heading2"/>
      </w:pPr>
      <w:r>
        <w:t>B. LLM によるテスト生成</w:t>
      </w:r>
    </w:p>
    <w:p>
      <w:pPr>
        <w:spacing w:after="60" w:line="312" w:lineRule="auto"/>
      </w:pPr>
      <w:r>
        <w:t xml:space="preserve">[4] C. Lemieux, J. P. Inala, S. K. Lahiri, and S. Sen, "CodaMOSA: Escaping Coverage Plateaus in Test Generation with Pre-trained Large Language Models," in </w:t>
      </w:r>
      <w:r>
        <w:rPr>
          <w:i/>
        </w:rPr>
        <w:t>Proc. ICSE 2023</w:t>
      </w:r>
      <w:r>
        <w:t>, pp. 919–931, 2023.</w:t>
      </w:r>
    </w:p>
    <w:p>
      <w:pPr>
        <w:spacing w:after="60" w:line="312" w:lineRule="auto"/>
      </w:pPr>
      <w:r>
        <w:t xml:space="preserve">[5] M. Schäfer et al., "An Empirical Evaluation of Using Large Language Models for Automated Unit Test Generation," </w:t>
      </w:r>
      <w:r>
        <w:rPr>
          <w:i/>
        </w:rPr>
        <w:t>IEEE TSE</w:t>
      </w:r>
      <w:r>
        <w:t>, vol. 50, 2024.</w:t>
      </w:r>
    </w:p>
    <w:p>
      <w:pPr>
        <w:spacing w:after="60" w:line="312" w:lineRule="auto"/>
      </w:pPr>
      <w:r>
        <w:t>[6] J. A. Ramos et al., "CoverUp: Coverage-Guided LLM-Based Test Generation," arXiv:2403.16218, 2024.</w:t>
      </w:r>
    </w:p>
    <w:p>
      <w:pPr>
        <w:spacing w:after="60" w:line="312" w:lineRule="auto"/>
      </w:pPr>
      <w:r>
        <w:t>[7] N. S. Mathews and M. Nagappan, "Design choices made by LLM-based test generators prevent them from finding bugs," arXiv:2412.14137, 2024.</w:t>
      </w:r>
    </w:p>
    <w:p>
      <w:pPr>
        <w:spacing w:after="60" w:line="312" w:lineRule="auto"/>
      </w:pPr>
      <w:r>
        <w:t>[8] "Do LLMs generate test oracles that capture the actual or the expected program behaviour?" arXiv:2410.21136, 2024.</w:t>
      </w:r>
    </w:p>
    <w:p>
      <w:pPr>
        <w:spacing w:after="60" w:line="312" w:lineRule="auto"/>
      </w:pPr>
      <w:r>
        <w:t>[9] B. Chu et al., "Large Language Models for Unit Test Generation: Achievements, Challenges, and the Road Ahead," arXiv:2511.21382, 2025.</w:t>
      </w:r>
    </w:p>
    <w:p>
      <w:pPr>
        <w:spacing w:after="60" w:line="312" w:lineRule="auto"/>
      </w:pPr>
      <w:r>
        <w:t xml:space="preserve">[10] "Multi-Step Generation of Test Specifications using Large Language Models," in </w:t>
      </w:r>
      <w:r>
        <w:rPr>
          <w:i/>
        </w:rPr>
        <w:t>Proc. ACL 2025 Industry Track</w:t>
      </w:r>
      <w:r>
        <w:t>, 2025.</w:t>
      </w:r>
    </w:p>
    <w:p>
      <w:pPr>
        <w:spacing w:after="60" w:line="312" w:lineRule="auto"/>
      </w:pPr>
      <w:r>
        <w:t xml:space="preserve">[11] "Enhancing LLM-based Test Generation for Hard-to-Cover Branches via Program Analysis (TELPA)," in </w:t>
      </w:r>
      <w:r>
        <w:rPr>
          <w:i/>
        </w:rPr>
        <w:t>ACM TOSEM</w:t>
      </w:r>
      <w:r>
        <w:t>, 2024.</w:t>
      </w:r>
    </w:p>
    <w:p>
      <w:pPr>
        <w:spacing w:after="60" w:line="312" w:lineRule="auto"/>
      </w:pPr>
      <w:r>
        <w:t>[12] "Static Analysis as a Feedback Loop: Enhancing LLM-Generated Code Beyond Correctness," arXiv:2508.14419, 2025.</w:t>
      </w:r>
    </w:p>
    <w:p>
      <w:pPr>
        <w:pStyle w:val="Heading2"/>
      </w:pPr>
      <w:r>
        <w:t>C. OOP 品質メトリクス・パターン</w:t>
      </w:r>
    </w:p>
    <w:p>
      <w:pPr>
        <w:spacing w:after="60" w:line="312" w:lineRule="auto"/>
      </w:pPr>
      <w:r>
        <w:t xml:space="preserve">[13] T. J. McCabe, "A Complexity Measure," </w:t>
      </w:r>
      <w:r>
        <w:rPr>
          <w:i/>
        </w:rPr>
        <w:t>IEEE TSE</w:t>
      </w:r>
      <w:r>
        <w:t>, vol. SE-2, no. 4, 1976.</w:t>
      </w:r>
    </w:p>
    <w:p>
      <w:pPr>
        <w:spacing w:after="60" w:line="312" w:lineRule="auto"/>
      </w:pPr>
      <w:r>
        <w:t xml:space="preserve">[14] S. R. Chidamber and C. F. Kemerer, "A Metrics Suite for Object Oriented Design," </w:t>
      </w:r>
      <w:r>
        <w:rPr>
          <w:i/>
        </w:rPr>
        <w:t>IEEE TSE</w:t>
      </w:r>
      <w:r>
        <w:t>, vol. 20, no. 6, 1994.</w:t>
      </w:r>
    </w:p>
    <w:p>
      <w:pPr>
        <w:spacing w:after="60" w:line="312" w:lineRule="auto"/>
      </w:pPr>
      <w:r>
        <w:t xml:space="preserve">[15] E. Gamma et al., </w:t>
      </w:r>
      <w:r>
        <w:rPr>
          <w:i/>
        </w:rPr>
        <w:t>Design Patterns: Elements of Reusable Object-Oriented Software</w:t>
      </w:r>
      <w:r>
        <w:t>, Addison-Wesley, 1994.</w:t>
      </w:r>
    </w:p>
    <w:p>
      <w:pPr>
        <w:spacing w:after="60" w:line="312" w:lineRule="auto"/>
      </w:pPr>
      <w:r>
        <w:t xml:space="preserve">[16] M. Fowler, </w:t>
      </w:r>
      <w:r>
        <w:rPr>
          <w:i/>
        </w:rPr>
        <w:t>Refactoring: Improving the Design of Existing Code</w:t>
      </w:r>
      <w:r>
        <w:t xml:space="preserve"> (2nd ed.), Addison-Wesley, 2018.</w:t>
      </w:r>
    </w:p>
    <w:p>
      <w:pPr>
        <w:pStyle w:val="Heading2"/>
      </w:pPr>
      <w:r>
        <w:t>D. 仕様・要求と非エンジニア共有</w:t>
      </w:r>
    </w:p>
    <w:p>
      <w:pPr>
        <w:spacing w:after="60" w:line="312" w:lineRule="auto"/>
      </w:pPr>
      <w:r>
        <w:t xml:space="preserve">[17] D. North, "Introducing BDD," </w:t>
      </w:r>
      <w:r>
        <w:rPr>
          <w:i/>
        </w:rPr>
        <w:t>Better Software</w:t>
      </w:r>
      <w:r>
        <w:t>, 2006.</w:t>
      </w:r>
    </w:p>
    <w:p>
      <w:pPr>
        <w:spacing w:after="60" w:line="312" w:lineRule="auto"/>
      </w:pPr>
      <w:r>
        <w:t xml:space="preserve">[18] G. Adzic, </w:t>
      </w:r>
      <w:r>
        <w:rPr>
          <w:i/>
        </w:rPr>
        <w:t>Specification by Example: How Successful Teams Deliver the Right Software</w:t>
      </w:r>
      <w:r>
        <w:t>, Manning, 2011.</w:t>
      </w:r>
    </w:p>
    <w:p>
      <w:pPr>
        <w:spacing w:after="60" w:line="312" w:lineRule="auto"/>
      </w:pPr>
      <w:r>
        <w:t xml:space="preserve">[19] E. Evans, </w:t>
      </w:r>
      <w:r>
        <w:rPr>
          <w:i/>
        </w:rPr>
        <w:t>Domain-Driven Design: Tackling Complexity in the Heart of Software</w:t>
      </w:r>
      <w:r>
        <w:t>, Addison-Wesley, 2003.</w:t>
      </w:r>
    </w:p>
    <w:p>
      <w:pPr>
        <w:spacing w:after="60" w:line="312" w:lineRule="auto"/>
      </w:pPr>
      <w:r>
        <w:t xml:space="preserve">[20] A. Brandolini, </w:t>
      </w:r>
      <w:r>
        <w:rPr>
          <w:i/>
        </w:rPr>
        <w:t>Introducing EventStorming</w:t>
      </w:r>
      <w:r>
        <w:t>, Leanpub, 2021.</w:t>
      </w:r>
    </w:p>
    <w:p>
      <w:pPr>
        <w:spacing w:after="60" w:line="312" w:lineRule="auto"/>
      </w:pPr>
      <w:r>
        <w:t xml:space="preserve">[21] C. Wiecher et al., "Model-based analysis and specification of functional requirements and tests for complex automotive systems," </w:t>
      </w:r>
      <w:r>
        <w:rPr>
          <w:i/>
        </w:rPr>
        <w:t>Systems Engineering</w:t>
      </w:r>
      <w:r>
        <w:t>, Wiley, 2024.</w:t>
      </w:r>
    </w:p>
    <w:p>
      <w:pPr>
        <w:pStyle w:val="Heading2"/>
      </w:pPr>
      <w:r>
        <w:t>E. 情報可視化</w:t>
      </w:r>
    </w:p>
    <w:p>
      <w:pPr>
        <w:spacing w:after="60" w:line="312" w:lineRule="auto"/>
      </w:pPr>
      <w:r>
        <w:t xml:space="preserve">[22] E. R. Tufte, </w:t>
      </w:r>
      <w:r>
        <w:rPr>
          <w:i/>
        </w:rPr>
        <w:t>The Visual Display of Quantitative Information</w:t>
      </w:r>
      <w:r>
        <w:t xml:space="preserve"> (2nd ed.), Graphics Press, 2001.</w:t>
      </w:r>
    </w:p>
    <w:p>
      <w:pPr>
        <w:spacing w:after="60" w:line="312" w:lineRule="auto"/>
      </w:pPr>
      <w:r>
        <w:t xml:space="preserve">[23] S. Few, </w:t>
      </w:r>
      <w:r>
        <w:rPr>
          <w:i/>
        </w:rPr>
        <w:t>Information Dashboard Design: Displaying Data for At-a-Glance Monitoring</w:t>
      </w:r>
      <w:r>
        <w:t>, O'Reilly, 2013.</w:t>
      </w:r>
    </w:p>
    <w:p>
      <w:pPr>
        <w:spacing w:after="60" w:line="312" w:lineRule="auto"/>
      </w:pPr>
      <w:r>
        <w:t xml:space="preserve">[24] T. Munzner, </w:t>
      </w:r>
      <w:r>
        <w:rPr>
          <w:i/>
        </w:rPr>
        <w:t>Visualization Analysis and Design</w:t>
      </w:r>
      <w:r>
        <w:t>, CRC Press, 2014.</w:t>
      </w:r>
    </w:p>
    <w:p>
      <w:pPr>
        <w:pStyle w:val="Heading2"/>
      </w:pPr>
      <w:r>
        <w:t>F. SBST・従来テスト生成</w:t>
      </w:r>
    </w:p>
    <w:p>
      <w:pPr>
        <w:spacing w:after="60" w:line="312" w:lineRule="auto"/>
      </w:pPr>
      <w:r>
        <w:t xml:space="preserve">[25] S. Lukasczyk and G. Fraser, "Pynguin: Automated Unit Test Generation for Python," in </w:t>
      </w:r>
      <w:r>
        <w:rPr>
          <w:i/>
        </w:rPr>
        <w:t>Proc. ICSE 2022 Demo Track</w:t>
      </w:r>
      <w:r>
        <w:t>, 2022.</w:t>
      </w:r>
    </w:p>
    <w:p>
      <w:pPr>
        <w:spacing w:after="60" w:line="312" w:lineRule="auto"/>
      </w:pPr>
      <w:r>
        <w:t>[26] "Test Wars: A Comparative Study of SBST, Symbolic Execution, and LLM-Based Approaches to Unit Test Generation," arXiv:2501.10200, 2025.</w:t>
      </w:r>
    </w:p>
    <w:p>
      <w:pPr>
        <w:pStyle w:val="Heading2"/>
      </w:pPr>
      <w:r>
        <w:t>G. 日本のソフトウェア品質コミュニティ</w:t>
      </w:r>
    </w:p>
    <w:p>
      <w:pPr>
        <w:spacing w:after="60" w:line="312" w:lineRule="auto"/>
      </w:pPr>
      <w:r>
        <w:t xml:space="preserve">[27] 「生成AIを活用したテストパターンマトリックスを用いたテスト生成」, </w:t>
      </w:r>
      <w:r>
        <w:rPr>
          <w:i/>
        </w:rPr>
        <w:t>SQiP 2024 一般発表 A4-1</w:t>
      </w:r>
      <w:r>
        <w:t>, 2024.</w:t>
      </w:r>
    </w:p>
    <w:p>
      <w:pPr>
        <w:spacing w:after="60" w:line="312" w:lineRule="auto"/>
      </w:pPr>
      <w:r>
        <w:t xml:space="preserve">[28] 石川冬樹, 「AIのテストへの活用：第一歩を踏み出す・その先に挑む」, </w:t>
      </w:r>
      <w:r>
        <w:rPr>
          <w:i/>
        </w:rPr>
        <w:t>JaSST'25 Shikoku</w:t>
      </w:r>
      <w:r>
        <w:t>, 2025.</w:t>
      </w:r>
    </w:p>
    <w:p>
      <w:pPr>
        <w:spacing w:after="60" w:line="312" w:lineRule="auto"/>
      </w:pPr>
      <w:r>
        <w:t>[29] 産業技術総合研究所, 「生成AI品質マネジメントガイドライン第1版」, Rev. 1.0.0, 2025.</w:t>
      </w:r>
    </w:p>
    <w:p>
      <w:pPr>
        <w:spacing w:after="60" w:line="312" w:lineRule="auto"/>
      </w:pPr>
      <w:r>
        <w:t>[30] IPA 独立行政法人情報処理推進機構, 「テキスト生成AIの導入・運用ガイドライン」, 2024.</w:t>
      </w:r>
    </w:p>
    <w:p>
      <w:pPr>
        <w:spacing w:after="60" w:line="312" w:lineRule="auto"/>
      </w:pPr>
      <w:r>
        <w:t xml:space="preserve">※ 参考文献は </w:t>
      </w:r>
      <w:r>
        <w:rPr>
          <w:rFonts w:ascii="Consolas" w:hAnsi="Consolas"/>
          <w:sz w:val="18"/>
        </w:rPr>
        <w:t>knowledge/literature-review.md</w:t>
      </w:r>
      <w:r>
        <w:t xml:space="preserve"> §5（36件）と </w:t>
      </w:r>
      <w:r>
        <w:rPr>
          <w:rFonts w:ascii="Consolas" w:hAnsi="Consolas"/>
          <w:sz w:val="18"/>
        </w:rPr>
        <w:t>knowledge/additional-references.md</w:t>
      </w:r>
      <w:r>
        <w:t xml:space="preserve"> を元に、本稿の主張に直接関連するものを30件に精選した。全体リストは補足資料として公開する予定。</w:t>
      </w:r>
    </w:p>
    <w:p>
      <w:pPr>
        <w:pStyle w:val="Heading1"/>
      </w:pPr>
      <w:r>
        <w:t>付録 A: 用語集</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用語</w:t>
            </w:r>
          </w:p>
        </w:tc>
        <w:tc>
          <w:tcPr>
            <w:tcW w:type="dxa" w:w="4986"/>
          </w:tcPr>
          <w:p>
            <w:r>
              <w:rPr>
                <w:b/>
                <w:sz w:val="18"/>
              </w:rPr>
              <w:t>説明</w:t>
            </w:r>
          </w:p>
        </w:tc>
      </w:tr>
      <w:tr>
        <w:tc>
          <w:tcPr>
            <w:tcW w:type="dxa" w:w="4986"/>
          </w:tcPr>
          <w:p>
            <w:r>
              <w:rPr>
                <w:sz w:val="18"/>
              </w:rPr>
              <w:t>TRM</w:t>
            </w:r>
          </w:p>
        </w:tc>
        <w:tc>
          <w:tcPr>
            <w:tcW w:type="dxa" w:w="4986"/>
          </w:tcPr>
          <w:p>
            <w:r>
              <w:rPr>
                <w:sz w:val="18"/>
              </w:rPr>
              <w:t>Test Requirement Model。テスト要求を YAML で構造化した中間成果物</w:t>
            </w:r>
          </w:p>
        </w:tc>
      </w:tr>
      <w:tr>
        <w:tc>
          <w:tcPr>
            <w:tcW w:type="dxa" w:w="4986"/>
          </w:tcPr>
          <w:p>
            <w:r>
              <w:rPr>
                <w:sz w:val="18"/>
              </w:rPr>
              <w:t>BR/EC/BV/ER/DP</w:t>
            </w:r>
          </w:p>
        </w:tc>
        <w:tc>
          <w:tcPr>
            <w:tcW w:type="dxa" w:w="4986"/>
          </w:tcPr>
          <w:p>
            <w:r>
              <w:rPr>
                <w:sz w:val="18"/>
              </w:rPr>
              <w:t>従来5種別（分岐網羅 / 同値クラス / 境界値 / エラーパス / 依存切替）</w:t>
            </w:r>
          </w:p>
        </w:tc>
      </w:tr>
      <w:tr>
        <w:tc>
          <w:tcPr>
            <w:tcW w:type="dxa" w:w="4986"/>
          </w:tcPr>
          <w:p>
            <w:r>
              <w:rPr>
                <w:sz w:val="18"/>
              </w:rPr>
              <w:t>CI/SV/CP</w:t>
            </w:r>
          </w:p>
        </w:tc>
        <w:tc>
          <w:tcPr>
            <w:tcW w:type="dxa" w:w="4986"/>
          </w:tcPr>
          <w:p>
            <w:r>
              <w:rPr>
                <w:sz w:val="18"/>
              </w:rPr>
              <w:t>OOP 拡張3種別（クラス継承 / 状態変数 / コードパターン、v3.0追加）</w:t>
            </w:r>
          </w:p>
        </w:tc>
      </w:tr>
      <w:tr>
        <w:tc>
          <w:tcPr>
            <w:tcW w:type="dxa" w:w="4986"/>
          </w:tcPr>
          <w:p>
            <w:r>
              <w:rPr>
                <w:sz w:val="18"/>
              </w:rPr>
              <w:t>EN</w:t>
            </w:r>
          </w:p>
        </w:tc>
        <w:tc>
          <w:tcPr>
            <w:tcW w:type="dxa" w:w="4986"/>
          </w:tcPr>
          <w:p>
            <w:r>
              <w:rPr>
                <w:sz w:val="18"/>
              </w:rPr>
              <w:t>カプセル化種別（Encapsulation、v3.1 新設）</w:t>
            </w:r>
          </w:p>
        </w:tc>
      </w:tr>
      <w:tr>
        <w:tc>
          <w:tcPr>
            <w:tcW w:type="dxa" w:w="4986"/>
          </w:tcPr>
          <w:p>
            <w:r>
              <w:rPr>
                <w:sz w:val="18"/>
              </w:rPr>
              <w:t>L1/L2/L3</w:t>
            </w:r>
          </w:p>
        </w:tc>
        <w:tc>
          <w:tcPr>
            <w:tcW w:type="dxa" w:w="4986"/>
          </w:tcPr>
          <w:p>
            <w:r>
              <w:rPr>
                <w:sz w:val="18"/>
              </w:rPr>
              <w:t>可読性レベル（コード知識不要 / ドメイン知識のみ / コード知識必要）</w:t>
            </w:r>
          </w:p>
        </w:tc>
      </w:tr>
    </w:tbl>
    <w:p>
      <w:pPr>
        <w:pStyle w:val="Heading1"/>
      </w:pPr>
      <w:r>
        <w:t>付録 B: 実証対象のメタ情報</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8"/>
              </w:rPr>
              <w:t>項目</w:t>
            </w:r>
          </w:p>
        </w:tc>
        <w:tc>
          <w:tcPr>
            <w:tcW w:type="dxa" w:w="2493"/>
          </w:tcPr>
          <w:p>
            <w:r>
              <w:rPr>
                <w:b/>
                <w:sz w:val="18"/>
              </w:rPr>
              <w:t>sakura-editor</w:t>
            </w:r>
          </w:p>
        </w:tc>
        <w:tc>
          <w:tcPr>
            <w:tcW w:type="dxa" w:w="2493"/>
          </w:tcPr>
          <w:p>
            <w:r>
              <w:rPr>
                <w:b/>
                <w:sz w:val="18"/>
              </w:rPr>
              <w:t>pallets/click</w:t>
            </w:r>
          </w:p>
        </w:tc>
        <w:tc>
          <w:tcPr>
            <w:tcW w:type="dxa" w:w="2493"/>
          </w:tcPr>
          <w:p>
            <w:r>
              <w:rPr>
                <w:b/>
                <w:sz w:val="18"/>
              </w:rPr>
              <w:t>リバーシ（自作）</w:t>
            </w:r>
          </w:p>
        </w:tc>
      </w:tr>
      <w:tr>
        <w:tc>
          <w:tcPr>
            <w:tcW w:type="dxa" w:w="2493"/>
          </w:tcPr>
          <w:p>
            <w:r>
              <w:rPr>
                <w:sz w:val="18"/>
              </w:rPr>
              <w:t>URL</w:t>
            </w:r>
          </w:p>
        </w:tc>
        <w:tc>
          <w:tcPr>
            <w:tcW w:type="dxa" w:w="2493"/>
          </w:tcPr>
          <w:p>
            <w:r>
              <w:rPr>
                <w:sz w:val="18"/>
              </w:rPr>
              <w:t>github.com/sakura-editor/sakura</w:t>
            </w:r>
          </w:p>
        </w:tc>
        <w:tc>
          <w:tcPr>
            <w:tcW w:type="dxa" w:w="2493"/>
          </w:tcPr>
          <w:p>
            <w:r>
              <w:rPr>
                <w:sz w:val="18"/>
              </w:rPr>
              <w:t>github.com/pallets/click</w:t>
            </w:r>
          </w:p>
        </w:tc>
        <w:tc>
          <w:tcPr>
            <w:tcW w:type="dxa" w:w="2493"/>
          </w:tcPr>
          <w:p>
            <w:r>
              <w:rPr>
                <w:sz w:val="18"/>
              </w:rPr>
              <w:t>experiments/reversi/</w:t>
            </w:r>
          </w:p>
        </w:tc>
      </w:tr>
      <w:tr>
        <w:tc>
          <w:tcPr>
            <w:tcW w:type="dxa" w:w="2493"/>
          </w:tcPr>
          <w:p>
            <w:r>
              <w:rPr>
                <w:sz w:val="18"/>
              </w:rPr>
              <w:t>ライセンス</w:t>
            </w:r>
          </w:p>
        </w:tc>
        <w:tc>
          <w:tcPr>
            <w:tcW w:type="dxa" w:w="2493"/>
          </w:tcPr>
          <w:p>
            <w:r>
              <w:rPr>
                <w:sz w:val="18"/>
              </w:rPr>
              <w:t>独自（OSS）</w:t>
            </w:r>
          </w:p>
        </w:tc>
        <w:tc>
          <w:tcPr>
            <w:tcW w:type="dxa" w:w="2493"/>
          </w:tcPr>
          <w:p>
            <w:r>
              <w:rPr>
                <w:sz w:val="18"/>
              </w:rPr>
              <w:t>BSD-3-Clause</w:t>
            </w:r>
          </w:p>
        </w:tc>
        <w:tc>
          <w:tcPr>
            <w:tcW w:type="dxa" w:w="2493"/>
          </w:tcPr>
          <w:p>
            <w:r>
              <w:rPr>
                <w:sz w:val="18"/>
              </w:rPr>
              <w:t>本研究独自</w:t>
            </w:r>
          </w:p>
        </w:tc>
      </w:tr>
      <w:tr>
        <w:tc>
          <w:tcPr>
            <w:tcW w:type="dxa" w:w="2493"/>
          </w:tcPr>
          <w:p>
            <w:r>
              <w:rPr>
                <w:sz w:val="18"/>
              </w:rPr>
              <w:t>バージョン（参照時点）</w:t>
            </w:r>
          </w:p>
        </w:tc>
        <w:tc>
          <w:tcPr>
            <w:tcW w:type="dxa" w:w="2493"/>
          </w:tcPr>
          <w:p>
            <w:r>
              <w:rPr>
                <w:sz w:val="18"/>
              </w:rPr>
              <w:t>master HEAD 2026-03-31</w:t>
            </w:r>
          </w:p>
        </w:tc>
        <w:tc>
          <w:tcPr>
            <w:tcW w:type="dxa" w:w="2493"/>
          </w:tcPr>
          <w:p>
            <w:r>
              <w:rPr>
                <w:sz w:val="18"/>
              </w:rPr>
              <w:t>main HEAD 2026-04-17</w:t>
            </w:r>
          </w:p>
        </w:tc>
        <w:tc>
          <w:tcPr>
            <w:tcW w:type="dxa" w:w="2493"/>
          </w:tcPr>
          <w:p>
            <w:r>
              <w:rPr>
                <w:sz w:val="18"/>
              </w:rPr>
              <w:t>2026-04-21</w:t>
            </w:r>
          </w:p>
        </w:tc>
      </w:tr>
      <w:tr>
        <w:tc>
          <w:tcPr>
            <w:tcW w:type="dxa" w:w="2493"/>
          </w:tcPr>
          <w:p>
            <w:r>
              <w:rPr>
                <w:sz w:val="18"/>
              </w:rPr>
              <w:t>言語</w:t>
            </w:r>
          </w:p>
        </w:tc>
        <w:tc>
          <w:tcPr>
            <w:tcW w:type="dxa" w:w="2493"/>
          </w:tcPr>
          <w:p>
            <w:r>
              <w:rPr>
                <w:sz w:val="18"/>
              </w:rPr>
              <w:t>C++</w:t>
            </w:r>
          </w:p>
        </w:tc>
        <w:tc>
          <w:tcPr>
            <w:tcW w:type="dxa" w:w="2493"/>
          </w:tcPr>
          <w:p>
            <w:r>
              <w:rPr>
                <w:sz w:val="18"/>
              </w:rPr>
              <w:t>Python 3.10+</w:t>
            </w:r>
          </w:p>
        </w:tc>
        <w:tc>
          <w:tcPr>
            <w:tcW w:type="dxa" w:w="2493"/>
          </w:tcPr>
          <w:p>
            <w:r>
              <w:rPr>
                <w:sz w:val="18"/>
              </w:rPr>
              <w:t>Python 3.14</w:t>
            </w:r>
          </w:p>
        </w:tc>
      </w:tr>
      <w:tr>
        <w:tc>
          <w:tcPr>
            <w:tcW w:type="dxa" w:w="2493"/>
          </w:tcPr>
          <w:p>
            <w:r>
              <w:rPr>
                <w:sz w:val="18"/>
              </w:rPr>
              <w:t>テストFW</w:t>
            </w:r>
          </w:p>
        </w:tc>
        <w:tc>
          <w:tcPr>
            <w:tcW w:type="dxa" w:w="2493"/>
          </w:tcPr>
          <w:p>
            <w:r>
              <w:rPr>
                <w:sz w:val="18"/>
              </w:rPr>
              <w:t>Google Test</w:t>
            </w:r>
          </w:p>
        </w:tc>
        <w:tc>
          <w:tcPr>
            <w:tcW w:type="dxa" w:w="2493"/>
          </w:tcPr>
          <w:p>
            <w:r>
              <w:rPr>
                <w:sz w:val="18"/>
              </w:rPr>
              <w:t>pytest</w:t>
            </w:r>
          </w:p>
        </w:tc>
        <w:tc>
          <w:tcPr>
            <w:tcW w:type="dxa" w:w="2493"/>
          </w:tcPr>
          <w:p>
            <w:r>
              <w:rPr>
                <w:sz w:val="18"/>
              </w:rPr>
              <w:t>独自 assert</w:t>
            </w:r>
          </w:p>
        </w:tc>
      </w:tr>
      <w:tr>
        <w:tc>
          <w:tcPr>
            <w:tcW w:type="dxa" w:w="2493"/>
          </w:tcPr>
          <w:p>
            <w:r>
              <w:rPr>
                <w:sz w:val="18"/>
              </w:rPr>
              <w:t>スコープ</w:t>
            </w:r>
          </w:p>
        </w:tc>
        <w:tc>
          <w:tcPr>
            <w:tcW w:type="dxa" w:w="2493"/>
          </w:tcPr>
          <w:p>
            <w:r>
              <w:rPr>
                <w:sz w:val="18"/>
              </w:rPr>
              <w:t>8関数 + CMemoryIterator 1クラス</w:t>
            </w:r>
          </w:p>
        </w:tc>
        <w:tc>
          <w:tcPr>
            <w:tcW w:type="dxa" w:w="2493"/>
          </w:tcPr>
          <w:p>
            <w:r>
              <w:rPr>
                <w:sz w:val="18"/>
              </w:rPr>
              <w:t>types.py 5クラス + exceptions.py + decorators.py 8ターゲット</w:t>
            </w:r>
          </w:p>
        </w:tc>
        <w:tc>
          <w:tcPr>
            <w:tcW w:type="dxa" w:w="2493"/>
          </w:tcPr>
          <w:p>
            <w:r>
              <w:rPr>
                <w:sz w:val="18"/>
              </w:rPr>
              <w:t>is_valid_move 等4関数</w:t>
            </w:r>
          </w:p>
        </w:tc>
      </w:tr>
      <w:tr>
        <w:tc>
          <w:tcPr>
            <w:tcW w:type="dxa" w:w="2493"/>
          </w:tcPr>
          <w:p>
            <w:r>
              <w:rPr>
                <w:sz w:val="18"/>
              </w:rPr>
              <w:t>対象規模</w:t>
            </w:r>
          </w:p>
        </w:tc>
        <w:tc>
          <w:tcPr>
            <w:tcW w:type="dxa" w:w="2493"/>
          </w:tcPr>
          <w:p>
            <w:r>
              <w:rPr>
                <w:sz w:val="18"/>
              </w:rPr>
              <w:t>約385行 + 153行</w:t>
            </w:r>
          </w:p>
        </w:tc>
        <w:tc>
          <w:tcPr>
            <w:tcW w:type="dxa" w:w="2493"/>
          </w:tcPr>
          <w:p>
            <w:r>
              <w:rPr>
                <w:sz w:val="18"/>
              </w:rPr>
              <w:t>約400行抜粋</w:t>
            </w:r>
          </w:p>
        </w:tc>
        <w:tc>
          <w:tcPr>
            <w:tcW w:type="dxa" w:w="2493"/>
          </w:tcPr>
          <w:p>
            <w:r>
              <w:rPr>
                <w:sz w:val="18"/>
              </w:rPr>
              <w:t>80行</w:t>
            </w:r>
          </w:p>
        </w:tc>
      </w:tr>
    </w:tbl>
    <w:p>
      <w:pPr>
        <w:pStyle w:val="Heading1"/>
      </w:pPr>
      <w:r>
        <w:t>付録 C: TRM スキーマ v3.1 概要</w:t>
      </w:r>
    </w:p>
    <w:p>
      <w:pPr>
        <w:spacing w:after="60" w:line="312" w:lineRule="auto"/>
      </w:pPr>
      <w:r>
        <w:rPr>
          <w:rFonts w:ascii="Consolas" w:hAnsi="Consolas"/>
          <w:sz w:val="18"/>
        </w:rPr>
        <w:t>templates/trm-schema.yaml</w:t>
      </w:r>
      <w:r>
        <w:t xml:space="preserve"> より抜粋（詳細はスキーマ本体を参照）:</w:t>
      </w:r>
    </w:p>
    <w:p>
      <w:pPr>
        <w:spacing w:after="60"/>
        <w:ind w:left="283"/>
      </w:pPr>
      <w:r>
        <w:rPr>
          <w:rFonts w:ascii="Consolas" w:hAnsi="Consolas"/>
          <w:sz w:val="17"/>
        </w:rPr>
        <w:t>schema_version: "3.1"</w:t>
        <w:br/>
        <w:t>targets:</w:t>
        <w:br/>
        <w:t xml:space="preserve">  - id: "TGT-XX"</w:t>
        <w:br/>
        <w:t xml:space="preserve">    file: "..."</w:t>
        <w:br/>
        <w:t xml:space="preserve">    function_signature: "..."</w:t>
        <w:br/>
        <w:t xml:space="preserve">    class_name: "..."</w:t>
        <w:br/>
        <w:t xml:space="preserve">    responsibility: "..."</w:t>
        <w:br/>
        <w:t xml:space="preserve">    branch_conditions: [...]</w:t>
        <w:br/>
        <w:t xml:space="preserve">    equivalence_classes: [...]</w:t>
        <w:br/>
        <w:t xml:space="preserve">    boundary_values: [...]</w:t>
        <w:br/>
        <w:t xml:space="preserve">    class_hierarchy: {...}</w:t>
        <w:br/>
        <w:t xml:space="preserve">    state_variables: [...]</w:t>
        <w:br/>
        <w:t xml:space="preserve">    code_patterns: [...]</w:t>
        <w:br/>
        <w:t xml:space="preserve">    accessors: [...]                      # v3.1 新設</w:t>
        <w:br/>
        <w:t xml:space="preserve">    construction_contracts: [...]         # v3.1 新設</w:t>
        <w:br/>
        <w:t xml:space="preserve">    encapsulation_risks: [...]            # v3.1 新設</w:t>
        <w:br/>
        <w:t xml:space="preserve">    test_requirements:</w:t>
        <w:br/>
        <w:t xml:space="preserve">      - id: "EN-01"</w:t>
        <w:br/>
        <w:t xml:space="preserve">        type: "encapsulation"             # v3.1 新設種別</w:t>
        <w:br/>
        <w:t xml:space="preserve">        subtype: "access_control_correctness"  # 5サブタイプ</w:t>
        <w:br/>
        <w:t xml:space="preserve">        description: "..."</w:t>
      </w:r>
    </w:p>
    <w:p>
      <w:pPr>
        <w:pStyle w:val="Heading1"/>
      </w:pPr>
      <w:r>
        <w:t>付録 D: 本稿で参照する実験成果物</w:t>
      </w:r>
    </w:p>
    <w:tbl>
      <w:tblPr>
        <w:tblStyle w:val="LightGrid-Accent1"/>
        <w:tblW w:type="auto" w:w="0"/>
        <w:tblLook w:firstColumn="1" w:firstRow="1" w:lastColumn="0" w:lastRow="0" w:noHBand="0" w:noVBand="1" w:val="04A0"/>
      </w:tblPr>
      <w:tblGrid>
        <w:gridCol w:w="4986"/>
        <w:gridCol w:w="4986"/>
      </w:tblGrid>
      <w:tr>
        <w:tc>
          <w:tcPr>
            <w:tcW w:type="dxa" w:w="4986"/>
          </w:tcPr>
          <w:p>
            <w:r>
              <w:rPr>
                <w:b/>
                <w:sz w:val="18"/>
              </w:rPr>
              <w:t>成果物</w:t>
            </w:r>
          </w:p>
        </w:tc>
        <w:tc>
          <w:tcPr>
            <w:tcW w:type="dxa" w:w="4986"/>
          </w:tcPr>
          <w:p>
            <w:r>
              <w:rPr>
                <w:b/>
                <w:sz w:val="18"/>
              </w:rPr>
              <w:t>パス</w:t>
            </w:r>
          </w:p>
        </w:tc>
      </w:tr>
      <w:tr>
        <w:tc>
          <w:tcPr>
            <w:tcW w:type="dxa" w:w="4986"/>
          </w:tcPr>
          <w:p>
            <w:r>
              <w:rPr>
                <w:sz w:val="18"/>
              </w:rPr>
              <w:t>sakura 既存実証 TRM</w:t>
            </w:r>
          </w:p>
        </w:tc>
        <w:tc>
          <w:tcPr>
            <w:tcW w:type="dxa" w:w="4986"/>
          </w:tcPr>
          <w:p>
            <w:r>
              <w:rPr>
                <w:sz w:val="18"/>
              </w:rPr>
              <w:t>test-requirements/test-requirements.yaml</w:t>
            </w:r>
          </w:p>
        </w:tc>
      </w:tr>
      <w:tr>
        <w:tc>
          <w:tcPr>
            <w:tcW w:type="dxa" w:w="4986"/>
          </w:tcPr>
          <w:p>
            <w:r>
              <w:rPr>
                <w:sz w:val="18"/>
              </w:rPr>
              <w:t>click TRM</w:t>
            </w:r>
          </w:p>
        </w:tc>
        <w:tc>
          <w:tcPr>
            <w:tcW w:type="dxa" w:w="4986"/>
          </w:tcPr>
          <w:p>
            <w:r>
              <w:rPr>
                <w:sz w:val="18"/>
              </w:rPr>
              <w:t>experiments/click/test-requirements/test-requirements.yaml</w:t>
            </w:r>
          </w:p>
        </w:tc>
      </w:tr>
      <w:tr>
        <w:tc>
          <w:tcPr>
            <w:tcW w:type="dxa" w:w="4986"/>
          </w:tcPr>
          <w:p>
            <w:r>
              <w:rPr>
                <w:sz w:val="18"/>
              </w:rPr>
              <w:t>リバーシ TRM</w:t>
            </w:r>
          </w:p>
        </w:tc>
        <w:tc>
          <w:tcPr>
            <w:tcW w:type="dxa" w:w="4986"/>
          </w:tcPr>
          <w:p>
            <w:r>
              <w:rPr>
                <w:sz w:val="18"/>
              </w:rPr>
              <w:t>experiments/reversi/test-requirements/test-requirements.yaml</w:t>
            </w:r>
          </w:p>
        </w:tc>
      </w:tr>
      <w:tr>
        <w:tc>
          <w:tcPr>
            <w:tcW w:type="dxa" w:w="4986"/>
          </w:tcPr>
          <w:p>
            <w:r>
              <w:rPr>
                <w:sz w:val="18"/>
              </w:rPr>
              <w:t>click 既存テスト比較</w:t>
            </w:r>
          </w:p>
        </w:tc>
        <w:tc>
          <w:tcPr>
            <w:tcW w:type="dxa" w:w="4986"/>
          </w:tcPr>
          <w:p>
            <w:r>
              <w:rPr>
                <w:sz w:val="18"/>
              </w:rPr>
              <w:t>experiments/click/reports/coverage-comparison.md</w:t>
            </w:r>
          </w:p>
        </w:tc>
      </w:tr>
      <w:tr>
        <w:tc>
          <w:tcPr>
            <w:tcW w:type="dxa" w:w="4986"/>
          </w:tcPr>
          <w:p>
            <w:r>
              <w:rPr>
                <w:sz w:val="18"/>
              </w:rPr>
              <w:t>可読率自動分類結果</w:t>
            </w:r>
          </w:p>
        </w:tc>
        <w:tc>
          <w:tcPr>
            <w:tcW w:type="dxa" w:w="4986"/>
          </w:tcPr>
          <w:p>
            <w:r>
              <w:rPr>
                <w:sz w:val="18"/>
              </w:rPr>
              <w:t>experiments/{click,reversi}/reports/readability-classification.md</w:t>
            </w:r>
          </w:p>
        </w:tc>
      </w:tr>
      <w:tr>
        <w:tc>
          <w:tcPr>
            <w:tcW w:type="dxa" w:w="4986"/>
          </w:tcPr>
          <w:p>
            <w:r>
              <w:rPr>
                <w:sz w:val="18"/>
              </w:rPr>
              <w:t>sakura CMemoryIterator 解析</w:t>
            </w:r>
          </w:p>
        </w:tc>
        <w:tc>
          <w:tcPr>
            <w:tcW w:type="dxa" w:w="4986"/>
          </w:tcPr>
          <w:p>
            <w:r>
              <w:rPr>
                <w:sz w:val="18"/>
              </w:rPr>
              <w:t>experiments/sakura-oop-extension/CMemoryIterator-v3_1-analysis.md</w:t>
            </w:r>
          </w:p>
        </w:tc>
      </w:tr>
      <w:tr>
        <w:tc>
          <w:tcPr>
            <w:tcW w:type="dxa" w:w="4986"/>
          </w:tcPr>
          <w:p>
            <w:r>
              <w:rPr>
                <w:sz w:val="18"/>
              </w:rPr>
              <w:t>可視化生成スクリプト</w:t>
            </w:r>
          </w:p>
        </w:tc>
        <w:tc>
          <w:tcPr>
            <w:tcW w:type="dxa" w:w="4986"/>
          </w:tcPr>
          <w:p>
            <w:r>
              <w:rPr>
                <w:sz w:val="18"/>
              </w:rPr>
              <w:t>scripts/generate_visualizations.py</w:t>
            </w:r>
          </w:p>
        </w:tc>
      </w:tr>
      <w:tr>
        <w:tc>
          <w:tcPr>
            <w:tcW w:type="dxa" w:w="4986"/>
          </w:tcPr>
          <w:p>
            <w:r>
              <w:rPr>
                <w:sz w:val="18"/>
              </w:rPr>
              <w:t>可読性分類スクリプト</w:t>
            </w:r>
          </w:p>
        </w:tc>
        <w:tc>
          <w:tcPr>
            <w:tcW w:type="dxa" w:w="4986"/>
          </w:tcPr>
          <w:p>
            <w:r>
              <w:rPr>
                <w:sz w:val="18"/>
              </w:rPr>
              <w:t>scripts/classify_readability.py</w:t>
            </w:r>
          </w:p>
        </w:tc>
      </w:tr>
      <w:tr>
        <w:tc>
          <w:tcPr>
            <w:tcW w:type="dxa" w:w="4986"/>
          </w:tcPr>
          <w:p>
            <w:r>
              <w:rPr>
                <w:sz w:val="18"/>
              </w:rPr>
              <w:t>アンケート設計</w:t>
            </w:r>
          </w:p>
        </w:tc>
        <w:tc>
          <w:tcPr>
            <w:tcW w:type="dxa" w:w="4986"/>
          </w:tcPr>
          <w:p>
            <w:r>
              <w:rPr>
                <w:sz w:val="18"/>
              </w:rPr>
              <w:t>knowledge/survey-design.md</w:t>
            </w:r>
          </w:p>
        </w:tc>
      </w:tr>
      <w:tr>
        <w:tc>
          <w:tcPr>
            <w:tcW w:type="dxa" w:w="4986"/>
          </w:tcPr>
          <w:p>
            <w:r>
              <w:rPr>
                <w:sz w:val="18"/>
              </w:rPr>
              <w:t>運用プラン</w:t>
            </w:r>
          </w:p>
        </w:tc>
        <w:tc>
          <w:tcPr>
            <w:tcW w:type="dxa" w:w="4986"/>
          </w:tcPr>
          <w:p>
            <w:r>
              <w:rPr>
                <w:sz w:val="18"/>
              </w:rPr>
              <w:t>knowledge/survey-deployment-plan.md</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游ゴシック" w:hAnsi="游ゴシック"/>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