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20" w:lineRule="exact"/>
        <w:jc w:val="center"/>
      </w:pPr>
      <w:r>
        <w:rPr>
          <w:rFonts w:ascii="游明朝" w:hAnsi="游明朝"/>
          <w:b/>
          <w:sz w:val="24"/>
        </w:rPr>
        <w:t>ソフトウェア品質シンポジウム2026　「経験論文」「経験発表」</w:t>
      </w:r>
    </w:p>
    <w:p>
      <w:pPr>
        <w:spacing w:after="280" w:before="0" w:line="320" w:lineRule="exact"/>
        <w:jc w:val="center"/>
      </w:pPr>
      <w:r>
        <w:rPr>
          <w:rFonts w:ascii="游明朝" w:hAnsi="游明朝"/>
          <w:b/>
          <w:sz w:val="22"/>
        </w:rPr>
        <w:t>発表申込／アブストラクト　記入用紙</w:t>
      </w:r>
    </w:p>
    <w:p>
      <w:pPr>
        <w:spacing w:after="160" w:before="0" w:line="320" w:lineRule="exact"/>
      </w:pPr>
      <w:r>
        <w:rPr>
          <w:rFonts w:ascii="游明朝" w:hAnsi="游明朝"/>
          <w:b/>
          <w:sz w:val="22"/>
        </w:rPr>
        <w:t>〔発表申込書〕</w:t>
      </w:r>
    </w:p>
    <w:p>
      <w:pPr>
        <w:spacing w:after="80" w:before="0" w:line="320" w:lineRule="exact"/>
      </w:pPr>
      <w:r>
        <w:rPr>
          <w:rFonts w:ascii="游明朝" w:hAnsi="游明朝"/>
          <w:b/>
          <w:sz w:val="20"/>
        </w:rPr>
        <w:t>タイトル</w:t>
      </w:r>
    </w:p>
    <w:p>
      <w:pPr>
        <w:spacing w:after="80" w:before="0" w:line="320" w:lineRule="exact"/>
      </w:pPr>
      <w:r>
        <w:rPr>
          <w:rFonts w:ascii="游明朝" w:hAnsi="游明朝"/>
          <w:b w:val="0"/>
          <w:sz w:val="21"/>
        </w:rPr>
        <w:t>静的解析に基づくテスト要求モデルの自動生成と、それを用いたLLM単体テスト生成の実証評価</w:t>
      </w:r>
    </w:p>
    <w:p>
      <w:pPr>
        <w:spacing w:after="80" w:before="0" w:line="320" w:lineRule="exact"/>
      </w:pPr>
      <w:r>
        <w:rPr>
          <w:rFonts w:ascii="游明朝" w:hAnsi="游明朝"/>
          <w:b/>
          <w:sz w:val="20"/>
        </w:rPr>
        <w:t>申込区分</w:t>
      </w:r>
    </w:p>
    <w:p>
      <w:pPr>
        <w:spacing w:after="80" w:before="0" w:line="320" w:lineRule="exact"/>
      </w:pPr>
      <w:r>
        <w:rPr>
          <w:rFonts w:ascii="游明朝" w:hAnsi="游明朝"/>
          <w:b w:val="0"/>
          <w:sz w:val="21"/>
        </w:rPr>
        <w:t>経験発表</w:t>
      </w:r>
    </w:p>
    <w:p>
      <w:pPr>
        <w:spacing w:after="80" w:before="0" w:line="320" w:lineRule="exact"/>
      </w:pPr>
      <w:r>
        <w:rPr>
          <w:rFonts w:ascii="游明朝" w:hAnsi="游明朝"/>
          <w:b/>
          <w:sz w:val="20"/>
        </w:rPr>
        <w:t>カテゴリ</w:t>
      </w:r>
    </w:p>
    <w:p>
      <w:pPr>
        <w:spacing w:after="80" w:before="0" w:line="320" w:lineRule="exact"/>
      </w:pPr>
      <w:r>
        <w:rPr>
          <w:rFonts w:ascii="游明朝" w:hAnsi="游明朝"/>
          <w:b w:val="0"/>
          <w:sz w:val="21"/>
        </w:rPr>
        <w:t>・品質管理・テスト技術の観点</w:t>
      </w:r>
    </w:p>
    <w:p>
      <w:pPr>
        <w:spacing w:after="80" w:before="0" w:line="320" w:lineRule="exact"/>
      </w:pPr>
      <w:r>
        <w:rPr>
          <w:rFonts w:ascii="游明朝" w:hAnsi="游明朝"/>
          <w:b/>
          <w:sz w:val="20"/>
        </w:rPr>
        <w:t>キーワード</w:t>
      </w:r>
    </w:p>
    <w:p>
      <w:pPr>
        <w:spacing w:after="280" w:before="0" w:line="320" w:lineRule="exact"/>
      </w:pPr>
      <w:r>
        <w:rPr>
          <w:rFonts w:ascii="游明朝" w:hAnsi="游明朝"/>
          <w:b w:val="0"/>
          <w:sz w:val="21"/>
        </w:rPr>
        <w:t>ホワイトボックステスト / テスト要求モデル / 大規模言語モデル（LLM） / 静的解析 / 単体テスト生成 / トレーサビリティ</w:t>
      </w:r>
    </w:p>
    <w:p>
      <w:r>
        <w:br w:type="page"/>
      </w:r>
    </w:p>
    <w:p>
      <w:pPr>
        <w:spacing w:after="200" w:before="0" w:line="320" w:lineRule="exact"/>
        <w:jc w:val="center"/>
      </w:pPr>
      <w:r>
        <w:rPr>
          <w:rFonts w:ascii="游明朝" w:hAnsi="游明朝"/>
          <w:b/>
          <w:sz w:val="22"/>
        </w:rPr>
        <w:t>〔アブストラクト記入用紙〕</w:t>
      </w:r>
    </w:p>
    <w:p>
      <w:pPr>
        <w:pStyle w:val="Heading2"/>
        <w:spacing w:before="200" w:after="80"/>
      </w:pPr>
      <w:r>
        <w:rPr>
          <w:color w:val="000000"/>
          <w:sz w:val="26"/>
        </w:rPr>
        <w:t>1. ねらい</w:t>
      </w:r>
    </w:p>
    <w:p>
      <w:pPr>
        <w:spacing w:before="160" w:after="40"/>
      </w:pPr>
      <w:r>
        <w:rPr>
          <w:rFonts w:ascii="游明朝" w:hAnsi="游明朝"/>
          <w:b/>
          <w:sz w:val="21"/>
        </w:rPr>
        <w:t>1.1 背景: LLM活用開発における単体テストの課題</w:t>
      </w:r>
    </w:p>
    <w:p>
      <w:pPr>
        <w:spacing w:after="80" w:before="0" w:line="320" w:lineRule="exact"/>
      </w:pPr>
      <w:r>
        <w:rPr>
          <w:rFonts w:ascii="游明朝" w:hAnsi="游明朝"/>
          <w:b w:val="0"/>
          <w:sz w:val="20"/>
        </w:rPr>
        <w:t>大規模言語モデル（LLM）を活用したソフトウェア開発が急速に広がっている。現在の典型的な運用は、自然言語で記述した要求仕様をLLMに与え、実装コードを直接生成させるものである。この開発スタイルでは、生成されたコードの品質評価が「要求どおりに基本機能が動作するか」の確認に偏りがちであり、単体テスト・コンポーネントテストの層が構造的に手薄になる。</w:t>
      </w:r>
    </w:p>
    <w:p>
      <w:pPr>
        <w:spacing w:after="80" w:before="0" w:line="320" w:lineRule="exact"/>
      </w:pPr>
      <w:r>
        <w:rPr>
          <w:rFonts w:ascii="游明朝" w:hAnsi="游明朝"/>
          <w:b w:val="0"/>
          <w:sz w:val="20"/>
        </w:rPr>
        <w:t>しかし、生成されたコードを実プロダクトとしてリリースするためには、従来のコードベース開発と同等以上の品質保証が必要である。特に、各関数が仕様どおりに動作すること、分岐条件や境界値が正しく処理されること、異常系でも安全に動作することを、単体テストによって体系的に検証する必要がある。</w:t>
      </w:r>
    </w:p>
    <w:p>
      <w:pPr>
        <w:spacing w:before="160" w:after="40"/>
      </w:pPr>
      <w:r>
        <w:rPr>
          <w:rFonts w:ascii="游明朝" w:hAnsi="游明朝"/>
          <w:b/>
          <w:sz w:val="21"/>
        </w:rPr>
        <w:t>1.2 既存のLLMテスト生成手法の限界</w:t>
      </w:r>
    </w:p>
    <w:p>
      <w:pPr>
        <w:spacing w:after="80" w:before="0" w:line="320" w:lineRule="exact"/>
      </w:pPr>
      <w:r>
        <w:rPr>
          <w:rFonts w:ascii="游明朝" w:hAnsi="游明朝"/>
          <w:b w:val="0"/>
          <w:sz w:val="20"/>
        </w:rPr>
        <w:t>LLMによるテスト自動生成は近年活発に研究されている。CodaMosa [1] はサーチベーステストとLLMを組み合わせてカバレッジ向上を図り、ChatUniTest [2] はLLMによるテスト生成とコンパイルエラーの反復修正を行い、TestPilot [3] はJavaScriptの単体テスト自動生成を実現し、CoverUp [4] はカバレッジフィードバックによるテスト改善を提案している。これらの手法はカバレッジ向上やコンパイル成功率の改善に成果を上げているが、共通して以下の3つの問題を残している。</w:t>
      </w:r>
    </w:p>
    <w:p>
      <w:pPr>
        <w:spacing w:after="80" w:before="0" w:line="320" w:lineRule="exact"/>
      </w:pPr>
      <w:r>
        <w:rPr>
          <w:rFonts w:ascii="游明朝" w:hAnsi="游明朝"/>
          <w:b w:val="0"/>
          <w:sz w:val="20"/>
        </w:rPr>
        <w:t>(P1) テスト設計根拠の不在: LLMが生成したテストが「何の分岐を」「どの同値クラスを」対象としているか不明であり、テスト設計の妥当性を第三者が検証できない。Mathews &amp; Nagappan [5] は、LLMテスト生成ツールの設計上の選択がバグ発見を妨げていることを指摘しており、LLM生成テストにはテストスメルの頻出 [7] やテストオラクルの正確性50%以下 [8] という品質課題も報告されている。</w:t>
      </w:r>
    </w:p>
    <w:p>
      <w:pPr>
        <w:spacing w:after="80" w:before="0" w:line="320" w:lineRule="exact"/>
      </w:pPr>
      <w:r>
        <w:rPr>
          <w:rFonts w:ascii="游明朝" w:hAnsi="游明朝"/>
          <w:b w:val="0"/>
          <w:sz w:val="20"/>
        </w:rPr>
        <w:t>(P2) 網羅性の事前把握が不可能: テスト群がソースコードのどの範囲をカバーしているかは、テストをコンパイル・実行してカバレッジツールを通すまで分からない。テスト生成の「前」に、何をテストすべきかを設計・管理する手段がない。</w:t>
      </w:r>
    </w:p>
    <w:p>
      <w:pPr>
        <w:spacing w:after="80" w:before="0" w:line="320" w:lineRule="exact"/>
      </w:pPr>
      <w:r>
        <w:rPr>
          <w:rFonts w:ascii="游明朝" w:hAnsi="游明朝"/>
          <w:b w:val="0"/>
          <w:sz w:val="20"/>
        </w:rPr>
        <w:t>(P3) テスト失敗時の原因特定コスト: テストが失敗した場合、生成テストのアサーション値とソースコードの実装を逐一突合して原因を特定する必要がある。テスト数が増えるほどこのコストは増大する。</w:t>
      </w:r>
    </w:p>
    <w:p>
      <w:pPr>
        <w:spacing w:before="160" w:after="40"/>
      </w:pPr>
      <w:r>
        <w:rPr>
          <w:rFonts w:ascii="游明朝" w:hAnsi="游明朝"/>
          <w:b/>
          <w:sz w:val="21"/>
        </w:rPr>
        <w:t>1.3 本研究の目的と提案手法</w:t>
      </w:r>
    </w:p>
    <w:p>
      <w:pPr>
        <w:spacing w:after="80" w:before="0" w:line="320" w:lineRule="exact"/>
      </w:pPr>
      <w:r>
        <w:rPr>
          <w:rFonts w:ascii="游明朝" w:hAnsi="游明朝"/>
          <w:b w:val="0"/>
          <w:sz w:val="20"/>
        </w:rPr>
        <w:t>本研究は、上記の3つの問題に対し、ソースコードの静的解析結果からホワイトボックステスト要求モデル（Test Requirement Model、以下TRM）をYAML形式で自動生成し、TRMを入力としてLLMにテストコードを生成させる手法を提案する。</w:t>
      </w:r>
    </w:p>
    <w:p>
      <w:pPr>
        <w:spacing w:after="80" w:before="0" w:line="320" w:lineRule="exact"/>
      </w:pPr>
      <w:r>
        <w:rPr>
          <w:rFonts w:ascii="游明朝" w:hAnsi="游明朝"/>
          <w:b w:val="0"/>
          <w:sz w:val="20"/>
        </w:rPr>
        <w:t>TRMは、対象関数の分岐条件・同値クラス・境界値を一意のID付きで構造化した中間成果物である。TRMを導入することで、(P1に対し) 各テストケースがどのテスト要求に対応するかが明示され、テスト設計根拠が追跡可能になる。(P2に対し) テスト生成の「前」に、テスト設計の網羅性を定量的に評価できる。(P3に対し) テスト失敗時に、TRM IDから原因の所在を即座に特定できる。</w:t>
      </w:r>
    </w:p>
    <w:p>
      <w:pPr>
        <w:spacing w:after="80" w:before="0" w:line="320" w:lineRule="exact"/>
      </w:pPr>
      <w:r>
        <w:rPr>
          <w:rFonts w:ascii="游明朝" w:hAnsi="游明朝"/>
          <w:b w:val="0"/>
          <w:sz w:val="20"/>
        </w:rPr>
        <w:t>本研究では、OSSプロジェクトのC++コード8関数（約385行）に提案手法を適用し、TRMの生成結果、テスト生成品質、テスト失敗時の診断効率を定量的に評価した。</w:t>
      </w:r>
    </w:p>
    <w:p>
      <w:pPr>
        <w:pStyle w:val="Heading2"/>
        <w:spacing w:before="200" w:after="80"/>
      </w:pPr>
      <w:r>
        <w:rPr>
          <w:color w:val="000000"/>
          <w:sz w:val="26"/>
        </w:rPr>
        <w:t>2. 実施概要</w:t>
      </w:r>
    </w:p>
    <w:p>
      <w:pPr>
        <w:spacing w:before="160" w:after="40"/>
      </w:pPr>
      <w:r>
        <w:rPr>
          <w:rFonts w:ascii="游明朝" w:hAnsi="游明朝"/>
          <w:b/>
          <w:sz w:val="21"/>
        </w:rPr>
        <w:t>2.1 提案手法の3段階パイプライン</w:t>
      </w:r>
    </w:p>
    <w:p>
      <w:pPr>
        <w:spacing w:after="80" w:before="0" w:line="320" w:lineRule="exact"/>
      </w:pPr>
      <w:r>
        <w:rPr>
          <w:rFonts w:ascii="游明朝" w:hAnsi="游明朝"/>
          <w:b w:val="0"/>
          <w:sz w:val="20"/>
        </w:rPr>
        <w:t>提案手法は、図1に示す3段階のパイプラインで構成される。</w:t>
      </w:r>
    </w:p>
    <w:p>
      <w:pPr>
        <w:spacing w:after="80" w:before="0" w:line="320" w:lineRule="exact"/>
      </w:pPr>
      <w:r>
        <w:rPr>
          <w:rFonts w:ascii="游明朝" w:hAnsi="游明朝"/>
          <w:b w:val="0"/>
          <w:sz w:val="20"/>
        </w:rPr>
        <w:t>Step 1（対象選定）: 対象リポジトリのソースコード構造をLLMが解析し、テスト対象関数を選定する。選定基準は (a) 外部依存がない純粋関数であること、(b) if/else/switchによる明確な分岐構造を持つこと、(c) 既存のテストが存在し比較評価が可能であること、の3点とした。人間が選定結果をレビューし、承認する。</w:t>
      </w:r>
    </w:p>
    <w:p>
      <w:pPr>
        <w:spacing w:after="80" w:before="0" w:line="320" w:lineRule="exact"/>
      </w:pPr>
      <w:r>
        <w:rPr>
          <w:rFonts w:ascii="游明朝" w:hAnsi="游明朝"/>
          <w:b w:val="0"/>
          <w:sz w:val="20"/>
        </w:rPr>
        <w:t>Step 2（TRM生成）: 選定した各関数のソースコードから分岐条件を抽出し、テスト要求をYAML形式で定義する。テスト要求は以下の5種別で体系的に分類する。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tcPr>
          <w:p>
            <w:pPr>
              <w:jc w:val="center"/>
            </w:pPr>
            <w:r>
              <w:rPr>
                <w:b/>
                <w:sz w:val="17"/>
              </w:rPr>
              <w:t>種別</w:t>
            </w:r>
          </w:p>
        </w:tc>
        <w:tc>
          <w:tcPr>
            <w:tcW w:type="dxa" w:w="567"/>
          </w:tcPr>
          <w:p>
            <w:pPr>
              <w:jc w:val="center"/>
            </w:pPr>
            <w:r>
              <w:rPr>
                <w:b/>
                <w:sz w:val="17"/>
              </w:rPr>
              <w:t>記号</w:t>
            </w:r>
          </w:p>
        </w:tc>
        <w:tc>
          <w:tcPr>
            <w:tcW w:type="dxa" w:w="2268"/>
          </w:tcPr>
          <w:p>
            <w:pPr>
              <w:jc w:val="center"/>
            </w:pPr>
            <w:r>
              <w:rPr>
                <w:b/>
                <w:sz w:val="17"/>
              </w:rPr>
              <w:t>定義</w:t>
            </w:r>
          </w:p>
        </w:tc>
        <w:tc>
          <w:tcPr>
            <w:tcW w:type="dxa" w:w="2268"/>
          </w:tcPr>
          <w:p>
            <w:pPr>
              <w:jc w:val="center"/>
            </w:pPr>
            <w:r>
              <w:rPr>
                <w:b/>
                <w:sz w:val="17"/>
              </w:rPr>
              <w:t>導出方法</w:t>
            </w:r>
          </w:p>
        </w:tc>
      </w:tr>
      <w:tr>
        <w:tc>
          <w:tcPr>
            <w:tcW w:type="dxa" w:w="1134"/>
          </w:tcPr>
          <w:p>
            <w:r>
              <w:rPr>
                <w:sz w:val="17"/>
              </w:rPr>
              <w:t>分岐網羅</w:t>
            </w:r>
          </w:p>
        </w:tc>
        <w:tc>
          <w:tcPr>
            <w:tcW w:type="dxa" w:w="567"/>
          </w:tcPr>
          <w:p>
            <w:r>
              <w:rPr>
                <w:sz w:val="17"/>
              </w:rPr>
              <w:t>BR</w:t>
            </w:r>
          </w:p>
        </w:tc>
        <w:tc>
          <w:tcPr>
            <w:tcW w:type="dxa" w:w="2268"/>
          </w:tcPr>
          <w:p>
            <w:r>
              <w:rPr>
                <w:sz w:val="17"/>
              </w:rPr>
              <w:t>if/else/switchの各分岐パス</w:t>
            </w:r>
          </w:p>
        </w:tc>
        <w:tc>
          <w:tcPr>
            <w:tcW w:type="dxa" w:w="2268"/>
          </w:tcPr>
          <w:p>
            <w:r>
              <w:rPr>
                <w:sz w:val="17"/>
              </w:rPr>
              <w:t>制御フロー解析</w:t>
            </w:r>
          </w:p>
        </w:tc>
      </w:tr>
      <w:tr>
        <w:tc>
          <w:tcPr>
            <w:tcW w:type="dxa" w:w="1134"/>
          </w:tcPr>
          <w:p>
            <w:r>
              <w:rPr>
                <w:sz w:val="17"/>
              </w:rPr>
              <w:t>同値クラス</w:t>
            </w:r>
          </w:p>
        </w:tc>
        <w:tc>
          <w:tcPr>
            <w:tcW w:type="dxa" w:w="567"/>
          </w:tcPr>
          <w:p>
            <w:r>
              <w:rPr>
                <w:sz w:val="17"/>
              </w:rPr>
              <w:t>EC</w:t>
            </w:r>
          </w:p>
        </w:tc>
        <w:tc>
          <w:tcPr>
            <w:tcW w:type="dxa" w:w="2268"/>
          </w:tcPr>
          <w:p>
            <w:r>
              <w:rPr>
                <w:sz w:val="17"/>
              </w:rPr>
              <w:t>入力パラメータの同値分割</w:t>
            </w:r>
          </w:p>
        </w:tc>
        <w:tc>
          <w:tcPr>
            <w:tcW w:type="dxa" w:w="2268"/>
          </w:tcPr>
          <w:p>
            <w:r>
              <w:rPr>
                <w:sz w:val="17"/>
              </w:rPr>
              <w:t>関数シグネチャ+分岐条件</w:t>
            </w:r>
          </w:p>
        </w:tc>
      </w:tr>
      <w:tr>
        <w:tc>
          <w:tcPr>
            <w:tcW w:type="dxa" w:w="1134"/>
          </w:tcPr>
          <w:p>
            <w:r>
              <w:rPr>
                <w:sz w:val="17"/>
              </w:rPr>
              <w:t>境界値</w:t>
            </w:r>
          </w:p>
        </w:tc>
        <w:tc>
          <w:tcPr>
            <w:tcW w:type="dxa" w:w="567"/>
          </w:tcPr>
          <w:p>
            <w:r>
              <w:rPr>
                <w:sz w:val="17"/>
              </w:rPr>
              <w:t>BV</w:t>
            </w:r>
          </w:p>
        </w:tc>
        <w:tc>
          <w:tcPr>
            <w:tcW w:type="dxa" w:w="2268"/>
          </w:tcPr>
          <w:p>
            <w:r>
              <w:rPr>
                <w:sz w:val="17"/>
              </w:rPr>
              <w:t>同値クラス境界の上限・下限</w:t>
            </w:r>
          </w:p>
        </w:tc>
        <w:tc>
          <w:tcPr>
            <w:tcW w:type="dxa" w:w="2268"/>
          </w:tcPr>
          <w:p>
            <w:r>
              <w:rPr>
                <w:sz w:val="17"/>
              </w:rPr>
              <w:t>EC要求の境界条件</w:t>
            </w:r>
          </w:p>
        </w:tc>
      </w:tr>
      <w:tr>
        <w:tc>
          <w:tcPr>
            <w:tcW w:type="dxa" w:w="1134"/>
          </w:tcPr>
          <w:p>
            <w:r>
              <w:rPr>
                <w:sz w:val="17"/>
              </w:rPr>
              <w:t>エラーパス</w:t>
            </w:r>
          </w:p>
        </w:tc>
        <w:tc>
          <w:tcPr>
            <w:tcW w:type="dxa" w:w="567"/>
          </w:tcPr>
          <w:p>
            <w:r>
              <w:rPr>
                <w:sz w:val="17"/>
              </w:rPr>
              <w:t>ER</w:t>
            </w:r>
          </w:p>
        </w:tc>
        <w:tc>
          <w:tcPr>
            <w:tcW w:type="dxa" w:w="2268"/>
          </w:tcPr>
          <w:p>
            <w:r>
              <w:rPr>
                <w:sz w:val="17"/>
              </w:rPr>
              <w:t>異常系・エラー処理パス</w:t>
            </w:r>
          </w:p>
        </w:tc>
        <w:tc>
          <w:tcPr>
            <w:tcW w:type="dxa" w:w="2268"/>
          </w:tcPr>
          <w:p>
            <w:r>
              <w:rPr>
                <w:sz w:val="17"/>
              </w:rPr>
              <w:t>ガード条件・例外処理</w:t>
            </w:r>
          </w:p>
        </w:tc>
      </w:tr>
      <w:tr>
        <w:tc>
          <w:tcPr>
            <w:tcW w:type="dxa" w:w="1134"/>
          </w:tcPr>
          <w:p>
            <w:r>
              <w:rPr>
                <w:sz w:val="17"/>
              </w:rPr>
              <w:t>依存切替</w:t>
            </w:r>
          </w:p>
        </w:tc>
        <w:tc>
          <w:tcPr>
            <w:tcW w:type="dxa" w:w="567"/>
          </w:tcPr>
          <w:p>
            <w:r>
              <w:rPr>
                <w:sz w:val="17"/>
              </w:rPr>
              <w:t>DP</w:t>
            </w:r>
          </w:p>
        </w:tc>
        <w:tc>
          <w:tcPr>
            <w:tcW w:type="dxa" w:w="2268"/>
          </w:tcPr>
          <w:p>
            <w:r>
              <w:rPr>
                <w:sz w:val="17"/>
              </w:rPr>
              <w:t>関数間の依存関係パス</w:t>
            </w:r>
          </w:p>
        </w:tc>
        <w:tc>
          <w:tcPr>
            <w:tcW w:type="dxa" w:w="2268"/>
          </w:tcPr>
          <w:p>
            <w:r>
              <w:rPr>
                <w:sz w:val="17"/>
              </w:rPr>
              <w:t>呼び出し関係・類似関数の差異</w:t>
            </w:r>
          </w:p>
        </w:tc>
      </w:tr>
    </w:tbl>
    <w:p>
      <w:pPr>
        <w:spacing w:after="80" w:before="0" w:line="320" w:lineRule="exact"/>
      </w:pPr>
      <w:r>
        <w:rPr>
          <w:rFonts w:ascii="游明朝" w:hAnsi="游明朝"/>
          <w:b w:val="0"/>
          <w:sz w:val="20"/>
        </w:rPr>
        <w:t>各テスト要求には、一意のID（例: BR-20）、自然言語による説明、優先度（high/medium/low）、根拠となるソースコードの行番号参照を付与する。以下に、バージョン文字列解析関数ParseVersionに対するTRMの抜粋を示す。</w:t>
      </w:r>
    </w:p>
    <w:p>
      <w:pPr>
        <w:spacing w:after="80" w:before="40" w:line="260" w:lineRule="exact"/>
        <w:ind w:left="454"/>
      </w:pPr>
      <w:r>
        <w:rPr>
          <w:rFonts w:ascii="Consolas" w:hAnsi="Consolas"/>
          <w:sz w:val="17"/>
        </w:rPr>
        <w:t>- id: "BR-20"</w:t>
        <w:br/>
        <w:t xml:space="preserve">  type: branch_coverage</w:t>
        <w:br/>
        <w:t xml:space="preserve">  description: "alpha修飾子の完全一致分岐を通過する"</w:t>
        <w:br/>
        <w:t xml:space="preserve">  priority: high</w:t>
        <w:br/>
        <w:t xml:space="preserve">  source_ref: "BC-02-10: strncmp(p, \"alpha\", 5) == 0"</w:t>
        <w:br/>
        <w:t xml:space="preserve">  expected_behavior: "nShift = -0x60 を設定し、ポインタを5文字進める"</w:t>
      </w:r>
    </w:p>
    <w:p>
      <w:pPr>
        <w:spacing w:after="80" w:before="0" w:line="320" w:lineRule="exact"/>
      </w:pPr>
      <w:r>
        <w:rPr>
          <w:rFonts w:ascii="游明朝" w:hAnsi="游明朝"/>
          <w:b w:val="0"/>
          <w:sz w:val="20"/>
        </w:rPr>
        <w:t>このYAMLエントリは、「ParseVersion関数の中で、入力文字列中に'alpha'という修飾子が現れた場合の分岐が正しく動作するか」というテスト要求を表している。人間はこのYAMLをレビューし、テスト設計の過不足を修正する。</w:t>
      </w:r>
    </w:p>
    <w:p>
      <w:pPr>
        <w:spacing w:after="80" w:before="0" w:line="320" w:lineRule="exact"/>
      </w:pPr>
      <w:r>
        <w:rPr>
          <w:rFonts w:ascii="游明朝" w:hAnsi="游明朝"/>
          <w:b w:val="0"/>
          <w:sz w:val="20"/>
        </w:rPr>
        <w:t>Step 3（テストコード生成）: 承認されたTRMのYAMLと対象関数のソースコードをLLMに入力し、Google Test準拠のテストコードを生成させる。各テストケースにはTRMのIDをコメントで明記し、テスト要求とテストケースの間の追跡性（トレーサビリティ）を確保する。以下に、上記BR-20に対応する生成テストコードを示す。</w:t>
      </w:r>
    </w:p>
    <w:p>
      <w:pPr>
        <w:spacing w:after="80" w:before="40" w:line="260" w:lineRule="exact"/>
        <w:ind w:left="454"/>
      </w:pPr>
      <w:r>
        <w:rPr>
          <w:rFonts w:ascii="Consolas" w:hAnsi="Consolas"/>
          <w:sz w:val="17"/>
        </w:rPr>
        <w:t>TEST(ParseVersion, AlphaModifier) {</w:t>
        <w:br/>
        <w:t xml:space="preserve">    // BR-20: alpha修飾子の完全一致分岐を通過する</w:t>
        <w:br/>
        <w:t xml:space="preserve">    UINT32 val = ParseVersion(L"2.4.1alpha");</w:t>
        <w:br/>
        <w:t xml:space="preserve">    EXPECT_EQ(val, static_cast&lt;UINT32&gt;(0x82848120));</w:t>
        <w:br/>
        <w:t>}</w:t>
      </w:r>
    </w:p>
    <w:p>
      <w:pPr>
        <w:spacing w:after="40"/>
        <w:jc w:val="center"/>
      </w:pPr>
      <w:r>
        <w:drawing>
          <wp:inline xmlns:a="http://schemas.openxmlformats.org/drawingml/2006/main" xmlns:pic="http://schemas.openxmlformats.org/drawingml/2006/picture">
            <wp:extent cx="5220000" cy="2587580"/>
            <wp:docPr id="1" name="Picture 1"/>
            <wp:cNvGraphicFramePr>
              <a:graphicFrameLocks noChangeAspect="1"/>
            </wp:cNvGraphicFramePr>
            <a:graphic>
              <a:graphicData uri="http://schemas.openxmlformats.org/drawingml/2006/picture">
                <pic:pic>
                  <pic:nvPicPr>
                    <pic:cNvPr id="0" name="fig1-overview.png"/>
                    <pic:cNvPicPr/>
                  </pic:nvPicPr>
                  <pic:blipFill>
                    <a:blip r:embed="rId9"/>
                    <a:stretch>
                      <a:fillRect/>
                    </a:stretch>
                  </pic:blipFill>
                  <pic:spPr>
                    <a:xfrm>
                      <a:off x="0" y="0"/>
                      <a:ext cx="5220000" cy="2587580"/>
                    </a:xfrm>
                    <a:prstGeom prst="rect"/>
                  </pic:spPr>
                </pic:pic>
              </a:graphicData>
            </a:graphic>
          </wp:inline>
        </w:drawing>
      </w:r>
    </w:p>
    <w:p>
      <w:pPr>
        <w:spacing w:after="120"/>
        <w:jc w:val="center"/>
      </w:pPr>
      <w:r>
        <w:rPr>
          <w:i/>
          <w:sz w:val="18"/>
        </w:rPr>
        <w:t>図1: 提案手法の全体構成（3段階パイプライン）</w:t>
      </w:r>
    </w:p>
    <w:p>
      <w:pPr>
        <w:spacing w:before="160" w:after="40"/>
      </w:pPr>
      <w:r>
        <w:rPr>
          <w:rFonts w:ascii="游明朝" w:hAnsi="游明朝"/>
          <w:b/>
          <w:sz w:val="21"/>
        </w:rPr>
        <w:t>2.2 実験条件</w:t>
      </w:r>
    </w:p>
    <w:p>
      <w:pPr>
        <w:spacing w:after="80" w:before="0" w:line="320" w:lineRule="exact"/>
      </w:pPr>
      <w:r>
        <w:rPr>
          <w:rFonts w:ascii="游明朝" w:hAnsi="游明朝"/>
          <w:b w:val="0"/>
          <w:sz w:val="20"/>
        </w:rPr>
        <w:t>実験対象として、オープンソースのC++プロジェクト sakura-editor/sakura（Windows向け日本語テキストエディタ、Google Testによる既存テスト約45件が整備済み）を使用した。Step 1により、以下の3領域8関数（合計約385行）を選定した。</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tcPr>
          <w:p>
            <w:pPr>
              <w:jc w:val="center"/>
            </w:pPr>
            <w:r>
              <w:rPr>
                <w:b/>
                <w:sz w:val="16"/>
              </w:rPr>
              <w:t>領域</w:t>
            </w:r>
          </w:p>
        </w:tc>
        <w:tc>
          <w:tcPr>
            <w:tcW w:type="dxa" w:w="2268"/>
          </w:tcPr>
          <w:p>
            <w:pPr>
              <w:jc w:val="center"/>
            </w:pPr>
            <w:r>
              <w:rPr>
                <w:b/>
                <w:sz w:val="16"/>
              </w:rPr>
              <w:t>対象関数</w:t>
            </w:r>
          </w:p>
        </w:tc>
        <w:tc>
          <w:tcPr>
            <w:tcW w:type="dxa" w:w="1020"/>
          </w:tcPr>
          <w:p>
            <w:pPr>
              <w:jc w:val="center"/>
            </w:pPr>
            <w:r>
              <w:rPr>
                <w:b/>
                <w:sz w:val="16"/>
              </w:rPr>
              <w:t>コード行数</w:t>
            </w:r>
          </w:p>
        </w:tc>
        <w:tc>
          <w:tcPr>
            <w:tcW w:type="dxa" w:w="2268"/>
          </w:tcPr>
          <w:p>
            <w:pPr>
              <w:jc w:val="center"/>
            </w:pPr>
            <w:r>
              <w:rPr>
                <w:b/>
                <w:sz w:val="16"/>
              </w:rPr>
              <w:t>主な処理内容</w:t>
            </w:r>
          </w:p>
        </w:tc>
      </w:tr>
      <w:tr>
        <w:tc>
          <w:tcPr>
            <w:tcW w:type="dxa" w:w="1417"/>
          </w:tcPr>
          <w:p>
            <w:r>
              <w:rPr>
                <w:sz w:val="16"/>
              </w:rPr>
              <w:t>日時書式・</w:t>
              <w:br/>
              <w:t>バージョン解析</w:t>
            </w:r>
          </w:p>
        </w:tc>
        <w:tc>
          <w:tcPr>
            <w:tcW w:type="dxa" w:w="2268"/>
          </w:tcPr>
          <w:p>
            <w:r>
              <w:rPr>
                <w:sz w:val="16"/>
              </w:rPr>
              <w:t>GetDateTimeFormat</w:t>
              <w:br/>
              <w:t>ParseVersion</w:t>
              <w:br/>
              <w:t>CompareVersion</w:t>
            </w:r>
          </w:p>
        </w:tc>
        <w:tc>
          <w:tcPr>
            <w:tcW w:type="dxa" w:w="1020"/>
          </w:tcPr>
          <w:p>
            <w:r>
              <w:rPr>
                <w:sz w:val="16"/>
              </w:rPr>
              <w:t>約115行</w:t>
            </w:r>
          </w:p>
        </w:tc>
        <w:tc>
          <w:tcPr>
            <w:tcW w:type="dxa" w:w="2268"/>
          </w:tcPr>
          <w:p>
            <w:r>
              <w:rPr>
                <w:sz w:val="16"/>
              </w:rPr>
              <w:t>日時書式変換、バージョン</w:t>
              <w:br/>
              <w:t>文字列の解析・比較</w:t>
            </w:r>
          </w:p>
        </w:tc>
      </w:tr>
      <w:tr>
        <w:tc>
          <w:tcPr>
            <w:tcW w:type="dxa" w:w="1417"/>
          </w:tcPr>
          <w:p>
            <w:r>
              <w:rPr>
                <w:sz w:val="16"/>
              </w:rPr>
              <w:t>メールアドレス・</w:t>
              <w:br/>
              <w:t>文字種判定</w:t>
            </w:r>
          </w:p>
        </w:tc>
        <w:tc>
          <w:tcPr>
            <w:tcW w:type="dxa" w:w="2268"/>
          </w:tcPr>
          <w:p>
            <w:r>
              <w:rPr>
                <w:sz w:val="16"/>
              </w:rPr>
              <w:t>IsMailAddress</w:t>
              <w:br/>
              <w:t>WhatKindOfTwoChars</w:t>
              <w:br/>
              <w:t>WhatKindOfTwoChars4KW</w:t>
            </w:r>
          </w:p>
        </w:tc>
        <w:tc>
          <w:tcPr>
            <w:tcW w:type="dxa" w:w="1020"/>
          </w:tcPr>
          <w:p>
            <w:r>
              <w:rPr>
                <w:sz w:val="16"/>
              </w:rPr>
              <w:t>約180行</w:t>
            </w:r>
          </w:p>
        </w:tc>
        <w:tc>
          <w:tcPr>
            <w:tcW w:type="dxa" w:w="2268"/>
          </w:tcPr>
          <w:p>
            <w:r>
              <w:rPr>
                <w:sz w:val="16"/>
              </w:rPr>
              <w:t>メールアドレス検証、</w:t>
              <w:br/>
              <w:t>日本語文字種の結合判定</w:t>
            </w:r>
          </w:p>
        </w:tc>
      </w:tr>
      <w:tr>
        <w:tc>
          <w:tcPr>
            <w:tcW w:type="dxa" w:w="1417"/>
          </w:tcPr>
          <w:p>
            <w:r>
              <w:rPr>
                <w:sz w:val="16"/>
              </w:rPr>
              <w:t>全角半角変換</w:t>
            </w:r>
          </w:p>
        </w:tc>
        <w:tc>
          <w:tcPr>
            <w:tcW w:type="dxa" w:w="2268"/>
          </w:tcPr>
          <w:p>
            <w:r>
              <w:rPr>
                <w:sz w:val="16"/>
              </w:rPr>
              <w:t>Convert_ZeneisuToHaneisu</w:t>
              <w:br/>
              <w:t>Convert_HaneisuToZeneisu</w:t>
            </w:r>
          </w:p>
        </w:tc>
        <w:tc>
          <w:tcPr>
            <w:tcW w:type="dxa" w:w="1020"/>
          </w:tcPr>
          <w:p>
            <w:r>
              <w:rPr>
                <w:sz w:val="16"/>
              </w:rPr>
              <w:t>約90行</w:t>
            </w:r>
          </w:p>
        </w:tc>
        <w:tc>
          <w:tcPr>
            <w:tcW w:type="dxa" w:w="2268"/>
          </w:tcPr>
          <w:p>
            <w:r>
              <w:rPr>
                <w:sz w:val="16"/>
              </w:rPr>
              <w:t>全角英数字⇔半角英数字</w:t>
              <w:br/>
              <w:t>の相互変換</w:t>
            </w:r>
          </w:p>
        </w:tc>
      </w:tr>
    </w:tbl>
    <w:p>
      <w:pPr>
        <w:spacing w:after="80" w:before="0" w:line="320" w:lineRule="exact"/>
      </w:pPr>
      <w:r>
        <w:rPr>
          <w:rFonts w:ascii="游明朝" w:hAnsi="游明朝"/>
          <w:b w:val="0"/>
          <w:sz w:val="20"/>
        </w:rPr>
        <w:t>選定過程では、GUI依存（ウィンドウ操作を含む関数）、ファイルI/O依存、グローバル状態依存の11関数を候補から除外した。除外理由は、スタブ化が必要となり実験の複雑さが増すためである。実行環境はmacOS（Apple clang 16.0）+ Google Test 1.17とし、Windows固有の型定義（SYSTEMTIME、BOOL等）は互換ヘッダで代替した。比較対象として、既存の手動テスト（約45件）を使用した。</w:t>
      </w:r>
    </w:p>
    <w:p>
      <w:pPr>
        <w:pStyle w:val="Heading2"/>
        <w:spacing w:before="200" w:after="80"/>
      </w:pPr>
      <w:r>
        <w:rPr>
          <w:color w:val="000000"/>
          <w:sz w:val="26"/>
        </w:rPr>
        <w:t>3. 実施結果</w:t>
      </w:r>
    </w:p>
    <w:p>
      <w:pPr>
        <w:spacing w:before="160" w:after="40"/>
      </w:pPr>
      <w:r>
        <w:rPr>
          <w:rFonts w:ascii="游明朝" w:hAnsi="游明朝"/>
          <w:b/>
          <w:sz w:val="21"/>
        </w:rPr>
        <w:t>3.1 TRMの生成結果</w:t>
      </w:r>
    </w:p>
    <w:p>
      <w:pPr>
        <w:spacing w:after="80" w:before="0" w:line="320" w:lineRule="exact"/>
      </w:pPr>
      <w:r>
        <w:rPr>
          <w:rFonts w:ascii="游明朝" w:hAnsi="游明朝"/>
          <w:b w:val="0"/>
          <w:sz w:val="20"/>
        </w:rPr>
        <w:t>Step 2により、8関数に対して合計99件のテスト要求を定義した。図2に種別ごとの内訳を示す。分岐網羅（BR）が55件（55.6%）と最も多く、次いで同値クラス（EC）27件（27.3%）、境界値（BV）11件（11.1%）、エラーパス（ER）3件（3.0%）、依存切替（DP）3件（3.0%）であった。</w:t>
      </w:r>
    </w:p>
    <w:p>
      <w:pPr>
        <w:spacing w:after="80" w:before="0" w:line="320" w:lineRule="exact"/>
      </w:pPr>
      <w:r>
        <w:rPr>
          <w:rFonts w:ascii="游明朝" w:hAnsi="游明朝"/>
          <w:b w:val="0"/>
          <w:sz w:val="20"/>
        </w:rPr>
        <w:t>BR要求が過半数を占めるのは、ソースコードのif/else/switch分岐から直接導出されるためである。ER・DPが少ないのは、対象がいずれも純粋関数であり、エラーハンドリングや関数間の複雑な依存関係が限定的であることによる。約385行のソースコードに対し、平均3.9行あたり1件のテスト要求を抽出した （関数の分岐密度が高いほど要求密度も高くなる傾向がある）。</w:t>
      </w:r>
    </w:p>
    <w:p>
      <w:pPr>
        <w:spacing w:after="40"/>
        <w:jc w:val="center"/>
      </w:pPr>
      <w:r>
        <w:drawing>
          <wp:inline xmlns:a="http://schemas.openxmlformats.org/drawingml/2006/main" xmlns:pic="http://schemas.openxmlformats.org/drawingml/2006/picture">
            <wp:extent cx="3600000" cy="3039243"/>
            <wp:docPr id="2" name="Picture 2"/>
            <wp:cNvGraphicFramePr>
              <a:graphicFrameLocks noChangeAspect="1"/>
            </wp:cNvGraphicFramePr>
            <a:graphic>
              <a:graphicData uri="http://schemas.openxmlformats.org/drawingml/2006/picture">
                <pic:pic>
                  <pic:nvPicPr>
                    <pic:cNvPr id="0" name="fig2-requirements-breakdown.png"/>
                    <pic:cNvPicPr/>
                  </pic:nvPicPr>
                  <pic:blipFill>
                    <a:blip r:embed="rId10"/>
                    <a:stretch>
                      <a:fillRect/>
                    </a:stretch>
                  </pic:blipFill>
                  <pic:spPr>
                    <a:xfrm>
                      <a:off x="0" y="0"/>
                      <a:ext cx="3600000" cy="3039243"/>
                    </a:xfrm>
                    <a:prstGeom prst="rect"/>
                  </pic:spPr>
                </pic:pic>
              </a:graphicData>
            </a:graphic>
          </wp:inline>
        </w:drawing>
      </w:r>
    </w:p>
    <w:p>
      <w:pPr>
        <w:spacing w:after="120"/>
        <w:jc w:val="center"/>
      </w:pPr>
      <w:r>
        <w:rPr>
          <w:i/>
          <w:sz w:val="18"/>
        </w:rPr>
        <w:t>図2: テスト要求の種別内訳（N=99）</w:t>
      </w:r>
    </w:p>
    <w:p>
      <w:pPr>
        <w:spacing w:before="160" w:after="40"/>
      </w:pPr>
      <w:r>
        <w:rPr>
          <w:rFonts w:ascii="游明朝" w:hAnsi="游明朝"/>
          <w:b/>
          <w:sz w:val="21"/>
        </w:rPr>
        <w:t>3.2 テスト生成結果と既存テストとの比較</w:t>
      </w:r>
    </w:p>
    <w:p>
      <w:pPr>
        <w:spacing w:after="80" w:before="0" w:line="320" w:lineRule="exact"/>
      </w:pPr>
      <w:r>
        <w:rPr>
          <w:rFonts w:ascii="游明朝" w:hAnsi="游明朝"/>
          <w:b w:val="0"/>
          <w:sz w:val="20"/>
        </w:rPr>
        <w:t>Step 3により、TRMの99件の要求を入力として、合計145件のGoogle Testテストコードを生成した。テスト要求カバー率は100%（全99件に対応するテストケースが存在）であった。テストケース数（145件）がテスト要求数（99件）を上回るのは、1つの境界値要求を上限・下限の別テストケースで検証する設計や、修飾子のタイプミス入力に対する補強テスト等を含むためである。</w:t>
      </w:r>
    </w:p>
    <w:p>
      <w:pPr>
        <w:spacing w:after="80" w:before="0" w:line="320" w:lineRule="exact"/>
      </w:pPr>
      <w:r>
        <w:rPr>
          <w:rFonts w:ascii="游明朝" w:hAnsi="游明朝"/>
          <w:b w:val="0"/>
          <w:sz w:val="20"/>
        </w:rPr>
        <w:t>図3に、既存の手動テスト（約45件）と提案手法による生成テスト（145件）の領域別の比較を示す。全領域で既存テストを上回り、全体として約3.2倍のテストケースを体系的に生成した。</w:t>
      </w:r>
    </w:p>
    <w:p>
      <w:pPr>
        <w:spacing w:after="40"/>
        <w:jc w:val="center"/>
      </w:pPr>
      <w:r>
        <w:drawing>
          <wp:inline xmlns:a="http://schemas.openxmlformats.org/drawingml/2006/main" xmlns:pic="http://schemas.openxmlformats.org/drawingml/2006/picture">
            <wp:extent cx="4320000" cy="2681191"/>
            <wp:docPr id="3" name="Picture 3"/>
            <wp:cNvGraphicFramePr>
              <a:graphicFrameLocks noChangeAspect="1"/>
            </wp:cNvGraphicFramePr>
            <a:graphic>
              <a:graphicData uri="http://schemas.openxmlformats.org/drawingml/2006/picture">
                <pic:pic>
                  <pic:nvPicPr>
                    <pic:cNvPr id="0" name="fig3-test-comparison.png"/>
                    <pic:cNvPicPr/>
                  </pic:nvPicPr>
                  <pic:blipFill>
                    <a:blip r:embed="rId11"/>
                    <a:stretch>
                      <a:fillRect/>
                    </a:stretch>
                  </pic:blipFill>
                  <pic:spPr>
                    <a:xfrm>
                      <a:off x="0" y="0"/>
                      <a:ext cx="4320000" cy="2681191"/>
                    </a:xfrm>
                    <a:prstGeom prst="rect"/>
                  </pic:spPr>
                </pic:pic>
              </a:graphicData>
            </a:graphic>
          </wp:inline>
        </w:drawing>
      </w:r>
    </w:p>
    <w:p>
      <w:pPr>
        <w:spacing w:after="120"/>
        <w:jc w:val="center"/>
      </w:pPr>
      <w:r>
        <w:rPr>
          <w:i/>
          <w:sz w:val="18"/>
        </w:rPr>
        <w:t>図3: 既存テストと生成テストの領域別比較</w:t>
      </w:r>
    </w:p>
    <w:p>
      <w:pPr>
        <w:spacing w:before="160" w:after="40"/>
      </w:pPr>
      <w:r>
        <w:rPr>
          <w:rFonts w:ascii="游明朝" w:hAnsi="游明朝"/>
          <w:b/>
          <w:sz w:val="21"/>
        </w:rPr>
        <w:t>3.3 コンパイル・実行結果</w:t>
      </w:r>
    </w:p>
    <w:p>
      <w:pPr>
        <w:spacing w:after="80" w:before="0" w:line="320" w:lineRule="exact"/>
      </w:pPr>
      <w:r>
        <w:rPr>
          <w:rFonts w:ascii="游明朝" w:hAnsi="游明朝"/>
          <w:b w:val="0"/>
          <w:sz w:val="20"/>
        </w:rPr>
        <w:t>生成した145件のテストコードをmacOS環境でコンパイル・実行した。結果を図4および以下の表に示す。</w:t>
      </w:r>
    </w:p>
    <w:tbl>
      <w:tblPr>
        <w:tblStyle w:val="TableGrid"/>
        <w:tblW w:type="auto" w:w="0"/>
        <w:jc w:val="center"/>
        <w:tblLook w:firstColumn="1" w:firstRow="1" w:lastColumn="0" w:lastRow="0" w:noHBand="0" w:noVBand="1" w:val="04A0"/>
      </w:tblPr>
      <w:tblGrid>
        <w:gridCol w:w="4536"/>
        <w:gridCol w:w="4536"/>
      </w:tblGrid>
      <w:tr>
        <w:tc>
          <w:tcPr>
            <w:tcW w:type="dxa" w:w="3402"/>
          </w:tcPr>
          <w:p>
            <w:pPr>
              <w:jc w:val="center"/>
            </w:pPr>
            <w:r>
              <w:rPr>
                <w:b/>
                <w:sz w:val="18"/>
              </w:rPr>
              <w:t>指標</w:t>
            </w:r>
          </w:p>
        </w:tc>
        <w:tc>
          <w:tcPr>
            <w:tcW w:type="dxa" w:w="2835"/>
          </w:tcPr>
          <w:p>
            <w:pPr>
              <w:jc w:val="center"/>
            </w:pPr>
            <w:r>
              <w:rPr>
                <w:b/>
                <w:sz w:val="18"/>
              </w:rPr>
              <w:t>値</w:t>
            </w:r>
          </w:p>
        </w:tc>
      </w:tr>
      <w:tr>
        <w:tc>
          <w:tcPr>
            <w:tcW w:type="dxa" w:w="3402"/>
          </w:tcPr>
          <w:p>
            <w:r>
              <w:rPr>
                <w:sz w:val="18"/>
              </w:rPr>
              <w:t>コンパイル成功</w:t>
            </w:r>
          </w:p>
        </w:tc>
        <w:tc>
          <w:tcPr>
            <w:tcW w:type="dxa" w:w="2835"/>
          </w:tcPr>
          <w:p>
            <w:r>
              <w:rPr>
                <w:sz w:val="18"/>
              </w:rPr>
              <w:t>3/3ファイル（100%）</w:t>
            </w:r>
          </w:p>
        </w:tc>
      </w:tr>
      <w:tr>
        <w:tc>
          <w:tcPr>
            <w:tcW w:type="dxa" w:w="3402"/>
          </w:tcPr>
          <w:p>
            <w:r>
              <w:rPr>
                <w:sz w:val="18"/>
              </w:rPr>
              <w:t>初回テストPASS</w:t>
            </w:r>
          </w:p>
        </w:tc>
        <w:tc>
          <w:tcPr>
            <w:tcW w:type="dxa" w:w="2835"/>
          </w:tcPr>
          <w:p>
            <w:r>
              <w:rPr>
                <w:sz w:val="18"/>
              </w:rPr>
              <w:t>133/145件（91.7%）</w:t>
            </w:r>
          </w:p>
        </w:tc>
      </w:tr>
      <w:tr>
        <w:tc>
          <w:tcPr>
            <w:tcW w:type="dxa" w:w="3402"/>
          </w:tcPr>
          <w:p>
            <w:r>
              <w:rPr>
                <w:sz w:val="18"/>
              </w:rPr>
              <w:t>初回テストFAIL</w:t>
            </w:r>
          </w:p>
        </w:tc>
        <w:tc>
          <w:tcPr>
            <w:tcW w:type="dxa" w:w="2835"/>
          </w:tcPr>
          <w:p>
            <w:r>
              <w:rPr>
                <w:sz w:val="18"/>
              </w:rPr>
              <w:t>12件（8.3%）</w:t>
            </w:r>
          </w:p>
        </w:tc>
      </w:tr>
      <w:tr>
        <w:tc>
          <w:tcPr>
            <w:tcW w:type="dxa" w:w="3402"/>
          </w:tcPr>
          <w:p>
            <w:r>
              <w:rPr>
                <w:sz w:val="18"/>
              </w:rPr>
              <w:t>FAIL原因: 対象関数の実装バグ</w:t>
            </w:r>
          </w:p>
        </w:tc>
        <w:tc>
          <w:tcPr>
            <w:tcW w:type="dxa" w:w="2835"/>
          </w:tcPr>
          <w:p>
            <w:r>
              <w:rPr>
                <w:sz w:val="18"/>
              </w:rPr>
              <w:t>0件</w:t>
            </w:r>
          </w:p>
        </w:tc>
      </w:tr>
      <w:tr>
        <w:tc>
          <w:tcPr>
            <w:tcW w:type="dxa" w:w="3402"/>
          </w:tcPr>
          <w:p>
            <w:r>
              <w:rPr>
                <w:sz w:val="18"/>
              </w:rPr>
              <w:t>FAIL原因: LLMの期待値推論誤り</w:t>
            </w:r>
          </w:p>
        </w:tc>
        <w:tc>
          <w:tcPr>
            <w:tcW w:type="dxa" w:w="2835"/>
          </w:tcPr>
          <w:p>
            <w:r>
              <w:rPr>
                <w:sz w:val="18"/>
              </w:rPr>
              <w:t>12件（100%）</w:t>
            </w:r>
          </w:p>
        </w:tc>
      </w:tr>
      <w:tr>
        <w:tc>
          <w:tcPr>
            <w:tcW w:type="dxa" w:w="3402"/>
          </w:tcPr>
          <w:p>
            <w:r>
              <w:rPr>
                <w:sz w:val="18"/>
              </w:rPr>
              <w:t>期待値修正後のPASS</w:t>
            </w:r>
          </w:p>
        </w:tc>
        <w:tc>
          <w:tcPr>
            <w:tcW w:type="dxa" w:w="2835"/>
          </w:tcPr>
          <w:p>
            <w:r>
              <w:rPr>
                <w:sz w:val="18"/>
              </w:rPr>
              <w:t>145/145件（100%）</w:t>
            </w:r>
          </w:p>
        </w:tc>
      </w:tr>
    </w:tbl>
    <w:p>
      <w:pPr>
        <w:spacing w:after="80" w:before="0" w:line="320" w:lineRule="exact"/>
      </w:pPr>
      <w:r>
        <w:rPr>
          <w:rFonts w:ascii="游明朝" w:hAnsi="游明朝"/>
          <w:b w:val="0"/>
          <w:sz w:val="20"/>
        </w:rPr>
        <w:t>12件のFAILは全て、LLMがテストの期待値（Expected値）を誤って推論したものであった。対象関数自体の実装バグは1件も検出されなかった。期待値を修正した後に再実行したところ、全145件がPASSした。</w:t>
      </w:r>
    </w:p>
    <w:p>
      <w:pPr>
        <w:spacing w:after="40"/>
        <w:jc w:val="center"/>
      </w:pPr>
      <w:r>
        <w:drawing>
          <wp:inline xmlns:a="http://schemas.openxmlformats.org/drawingml/2006/main" xmlns:pic="http://schemas.openxmlformats.org/drawingml/2006/picture">
            <wp:extent cx="4320000" cy="2683927"/>
            <wp:docPr id="4" name="Picture 4"/>
            <wp:cNvGraphicFramePr>
              <a:graphicFrameLocks noChangeAspect="1"/>
            </wp:cNvGraphicFramePr>
            <a:graphic>
              <a:graphicData uri="http://schemas.openxmlformats.org/drawingml/2006/picture">
                <pic:pic>
                  <pic:nvPicPr>
                    <pic:cNvPr id="0" name="fig4-execution-results.png"/>
                    <pic:cNvPicPr/>
                  </pic:nvPicPr>
                  <pic:blipFill>
                    <a:blip r:embed="rId12"/>
                    <a:stretch>
                      <a:fillRect/>
                    </a:stretch>
                  </pic:blipFill>
                  <pic:spPr>
                    <a:xfrm>
                      <a:off x="0" y="0"/>
                      <a:ext cx="4320000" cy="2683927"/>
                    </a:xfrm>
                    <a:prstGeom prst="rect"/>
                  </pic:spPr>
                </pic:pic>
              </a:graphicData>
            </a:graphic>
          </wp:inline>
        </w:drawing>
      </w:r>
    </w:p>
    <w:p>
      <w:pPr>
        <w:spacing w:after="120"/>
        <w:jc w:val="center"/>
      </w:pPr>
      <w:r>
        <w:rPr>
          <w:i/>
          <w:sz w:val="18"/>
        </w:rPr>
        <w:t>図4: コンパイル・実行結果（初回→修正後）</w:t>
      </w:r>
    </w:p>
    <w:p>
      <w:pPr>
        <w:spacing w:before="160" w:after="40"/>
      </w:pPr>
      <w:r>
        <w:rPr>
          <w:rFonts w:ascii="游明朝" w:hAnsi="游明朝"/>
          <w:b/>
          <w:sz w:val="21"/>
        </w:rPr>
        <w:t>3.4 FAIL 12件の原因分析: TRMによる構造的診断</w:t>
      </w:r>
    </w:p>
    <w:p>
      <w:pPr>
        <w:spacing w:after="80" w:before="0" w:line="320" w:lineRule="exact"/>
      </w:pPr>
      <w:r>
        <w:rPr>
          <w:rFonts w:ascii="游明朝" w:hAnsi="游明朝"/>
          <w:b w:val="0"/>
          <w:sz w:val="20"/>
        </w:rPr>
        <w:t>本実験の重要な知見として、12件のFAILに対する原因特定におけるTRMの効果を報告する。各テストケースにはTRM ID（例: BR-20）がコメントで付与されているため、失敗したテストがどのテスト要求に対応するかを即座に特定でき、TRMの説明文と根拠情報から原因の所在を構造的に分類できた。以下にFAIL 12件の原因分類を示す。</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tcPr>
          <w:p>
            <w:pPr>
              <w:jc w:val="center"/>
            </w:pPr>
            <w:r>
              <w:rPr>
                <w:b/>
                <w:sz w:val="16"/>
              </w:rPr>
              <w:t>原因分類</w:t>
            </w:r>
          </w:p>
        </w:tc>
        <w:tc>
          <w:tcPr>
            <w:tcW w:type="dxa" w:w="454"/>
          </w:tcPr>
          <w:p>
            <w:pPr>
              <w:jc w:val="center"/>
            </w:pPr>
            <w:r>
              <w:rPr>
                <w:b/>
                <w:sz w:val="16"/>
              </w:rPr>
              <w:t>件数</w:t>
            </w:r>
          </w:p>
        </w:tc>
        <w:tc>
          <w:tcPr>
            <w:tcW w:type="dxa" w:w="1134"/>
          </w:tcPr>
          <w:p>
            <w:pPr>
              <w:jc w:val="center"/>
            </w:pPr>
            <w:r>
              <w:rPr>
                <w:b/>
                <w:sz w:val="16"/>
              </w:rPr>
              <w:t>対応TRM ID</w:t>
            </w:r>
          </w:p>
        </w:tc>
        <w:tc>
          <w:tcPr>
            <w:tcW w:type="dxa" w:w="3969"/>
          </w:tcPr>
          <w:p>
            <w:pPr>
              <w:jc w:val="center"/>
            </w:pPr>
            <w:r>
              <w:rPr>
                <w:b/>
                <w:sz w:val="16"/>
              </w:rPr>
              <w:t>技術的詳細</w:t>
            </w:r>
          </w:p>
        </w:tc>
      </w:tr>
      <w:tr>
        <w:tc>
          <w:tcPr>
            <w:tcW w:type="dxa" w:w="1417"/>
          </w:tcPr>
          <w:p>
            <w:r>
              <w:rPr>
                <w:sz w:val="16"/>
              </w:rPr>
              <w:t>コンポーネント分割</w:t>
              <w:br/>
              <w:t>の誤解</w:t>
            </w:r>
          </w:p>
        </w:tc>
        <w:tc>
          <w:tcPr>
            <w:tcW w:type="dxa" w:w="454"/>
          </w:tcPr>
          <w:p>
            <w:r>
              <w:rPr>
                <w:sz w:val="16"/>
              </w:rPr>
              <w:t>5</w:t>
            </w:r>
          </w:p>
        </w:tc>
        <w:tc>
          <w:tcPr>
            <w:tcW w:type="dxa" w:w="1134"/>
          </w:tcPr>
          <w:p>
            <w:r>
              <w:rPr>
                <w:sz w:val="16"/>
              </w:rPr>
              <w:t>BR-20〜23</w:t>
            </w:r>
          </w:p>
        </w:tc>
        <w:tc>
          <w:tcPr>
            <w:tcW w:type="dxa" w:w="3969"/>
          </w:tcPr>
          <w:p>
            <w:r>
              <w:rPr>
                <w:sz w:val="16"/>
              </w:rPr>
              <w:t>"2.4.1alpha"をLLMは1コンポーネントと予測。</w:t>
              <w:br/>
              <w:t>実際は"1"と"alpha"が別のイテレーションで処理される。</w:t>
            </w:r>
          </w:p>
        </w:tc>
      </w:tr>
      <w:tr>
        <w:tc>
          <w:tcPr>
            <w:tcW w:type="dxa" w:w="1417"/>
          </w:tcPr>
          <w:p>
            <w:r>
              <w:rPr>
                <w:sz w:val="16"/>
              </w:rPr>
              <w:t>数字グルーピング</w:t>
              <w:br/>
              <w:t>の誤解</w:t>
            </w:r>
          </w:p>
        </w:tc>
        <w:tc>
          <w:tcPr>
            <w:tcW w:type="dxa" w:w="454"/>
          </w:tcPr>
          <w:p>
            <w:r>
              <w:rPr>
                <w:sz w:val="16"/>
              </w:rPr>
              <w:t>1</w:t>
            </w:r>
          </w:p>
        </w:tc>
        <w:tc>
          <w:tcPr>
            <w:tcW w:type="dxa" w:w="1134"/>
          </w:tcPr>
          <w:p>
            <w:r>
              <w:rPr>
                <w:sz w:val="16"/>
              </w:rPr>
              <w:t>EC-08</w:t>
            </w:r>
          </w:p>
        </w:tc>
        <w:tc>
          <w:tcPr>
            <w:tcW w:type="dxa" w:w="3969"/>
          </w:tcPr>
          <w:p>
            <w:r>
              <w:rPr>
                <w:sz w:val="16"/>
              </w:rPr>
              <w:t>"1234"を1桁ずつと予測。実際は2桁ずつ区切り。</w:t>
            </w:r>
          </w:p>
        </w:tc>
      </w:tr>
      <w:tr>
        <w:tc>
          <w:tcPr>
            <w:tcW w:type="dxa" w:w="1417"/>
          </w:tcPr>
          <w:p>
            <w:r>
              <w:rPr>
                <w:sz w:val="16"/>
              </w:rPr>
              <w:t>文字数カウント</w:t>
              <w:br/>
              <w:t>ミス</w:t>
            </w:r>
          </w:p>
        </w:tc>
        <w:tc>
          <w:tcPr>
            <w:tcW w:type="dxa" w:w="454"/>
          </w:tcPr>
          <w:p>
            <w:r>
              <w:rPr>
                <w:sz w:val="16"/>
              </w:rPr>
              <w:t>2</w:t>
            </w:r>
          </w:p>
        </w:tc>
        <w:tc>
          <w:tcPr>
            <w:tcW w:type="dxa" w:w="1134"/>
          </w:tcPr>
          <w:p>
            <w:r>
              <w:rPr>
                <w:sz w:val="16"/>
              </w:rPr>
              <w:t>EC-13, 14</w:t>
            </w:r>
          </w:p>
        </w:tc>
        <w:tc>
          <w:tcPr>
            <w:tcW w:type="dxa" w:w="3969"/>
          </w:tcPr>
          <w:p>
            <w:r>
              <w:rPr>
                <w:sz w:val="16"/>
              </w:rPr>
              <w:t>wcslen("test@example.co.jp")=18を19と誤算</w:t>
              <w:br/>
              <w:t>（null終端を含めてカウント）。</w:t>
            </w:r>
          </w:p>
        </w:tc>
      </w:tr>
      <w:tr>
        <w:tc>
          <w:tcPr>
            <w:tcW w:type="dxa" w:w="1417"/>
          </w:tcPr>
          <w:p>
            <w:r>
              <w:rPr>
                <w:sz w:val="16"/>
              </w:rPr>
              <w:t>API呼び出しバグ</w:t>
            </w:r>
          </w:p>
        </w:tc>
        <w:tc>
          <w:tcPr>
            <w:tcW w:type="dxa" w:w="454"/>
          </w:tcPr>
          <w:p>
            <w:r>
              <w:rPr>
                <w:sz w:val="16"/>
              </w:rPr>
              <w:t>1</w:t>
            </w:r>
          </w:p>
        </w:tc>
        <w:tc>
          <w:tcPr>
            <w:tcW w:type="dxa" w:w="1134"/>
          </w:tcPr>
          <w:p>
            <w:r>
              <w:rPr>
                <w:sz w:val="16"/>
              </w:rPr>
              <w:t>EC-16</w:t>
            </w:r>
          </w:p>
        </w:tc>
        <w:tc>
          <w:tcPr>
            <w:tcW w:type="dxa" w:w="3969"/>
          </w:tcPr>
          <w:p>
            <w:r>
              <w:rPr>
                <w:sz w:val="16"/>
              </w:rPr>
              <w:t>IsMailAddressの引数で、offsetとバッファ</w:t>
              <w:br/>
              <w:t>ポインタを二重にシフトした。</w:t>
            </w:r>
          </w:p>
        </w:tc>
      </w:tr>
      <w:tr>
        <w:tc>
          <w:tcPr>
            <w:tcW w:type="dxa" w:w="1417"/>
          </w:tcPr>
          <w:p>
            <w:r>
              <w:rPr>
                <w:sz w:val="16"/>
              </w:rPr>
              <w:t>マッピング戻り値</w:t>
              <w:br/>
              <w:t>の誤解</w:t>
            </w:r>
          </w:p>
        </w:tc>
        <w:tc>
          <w:tcPr>
            <w:tcW w:type="dxa" w:w="454"/>
          </w:tcPr>
          <w:p>
            <w:r>
              <w:rPr>
                <w:sz w:val="16"/>
              </w:rPr>
              <w:t>3</w:t>
            </w:r>
          </w:p>
        </w:tc>
        <w:tc>
          <w:tcPr>
            <w:tcW w:type="dxa" w:w="1134"/>
          </w:tcPr>
          <w:p>
            <w:r>
              <w:rPr>
                <w:sz w:val="16"/>
              </w:rPr>
              <w:t>BR-39〜41</w:t>
            </w:r>
          </w:p>
        </w:tc>
        <w:tc>
          <w:tcPr>
            <w:tcW w:type="dxa" w:w="3969"/>
          </w:tcPr>
          <w:p>
            <w:r>
              <w:rPr>
                <w:sz w:val="16"/>
              </w:rPr>
              <w:t>WhatKindOfTwoCharsで、変数のマッピング後の</w:t>
              <w:br/>
              <w:t>返却値を、マッピング前の元値と誤認。</w:t>
            </w:r>
          </w:p>
        </w:tc>
      </w:tr>
    </w:tbl>
    <w:p>
      <w:pPr>
        <w:spacing w:after="80" w:before="0" w:line="320" w:lineRule="exact"/>
      </w:pPr>
      <w:r>
        <w:rPr>
          <w:rFonts w:ascii="游明朝" w:hAnsi="游明朝"/>
          <w:b w:val="0"/>
          <w:sz w:val="20"/>
        </w:rPr>
        <w:t>TRMがない場合、これらの原因特定には、145件のテストコードのアサーション値とC++ソースコードの分岐条件を逐一突合する必要がある。TRMがある場合は、失敗テストのコメントに記載されたTRM ID（例: BR-20）から、対応するテスト要求の説明（「alpha修飾子の完全一致分岐」）とソースコード参照（「strncmp(p, "alpha", 5) == 0」）を即座に参照でき、原因を体系的に分類できた。これはP3（テスト失敗時の原因特定コスト）への直接的な解決策である。</w:t>
      </w:r>
    </w:p>
    <w:p>
      <w:pPr>
        <w:spacing w:before="160" w:after="40"/>
      </w:pPr>
      <w:r>
        <w:rPr>
          <w:rFonts w:ascii="游明朝" w:hAnsi="游明朝"/>
          <w:b/>
          <w:sz w:val="21"/>
        </w:rPr>
        <w:t>3.5 既存テストの品質ギャップ分析</w:t>
      </w:r>
    </w:p>
    <w:p>
      <w:pPr>
        <w:spacing w:after="80" w:before="0" w:line="320" w:lineRule="exact"/>
      </w:pPr>
      <w:r>
        <w:rPr>
          <w:rFonts w:ascii="游明朝" w:hAnsi="游明朝"/>
          <w:b w:val="0"/>
          <w:sz w:val="20"/>
        </w:rPr>
        <w:t>TRMの99件を基準として既存テスト（約45件）との照合を行い、既存テストでカバーされていないテスト要求を種別ごとに集計した。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tcPr>
          <w:p>
            <w:pPr>
              <w:jc w:val="center"/>
            </w:pPr>
            <w:r>
              <w:rPr>
                <w:b/>
                <w:sz w:val="17"/>
              </w:rPr>
              <w:t>種別</w:t>
            </w:r>
          </w:p>
        </w:tc>
        <w:tc>
          <w:tcPr>
            <w:tcW w:type="dxa" w:w="1134"/>
          </w:tcPr>
          <w:p>
            <w:pPr>
              <w:jc w:val="center"/>
            </w:pPr>
            <w:r>
              <w:rPr>
                <w:b/>
                <w:sz w:val="17"/>
              </w:rPr>
              <w:t>TRM要求数</w:t>
            </w:r>
          </w:p>
        </w:tc>
        <w:tc>
          <w:tcPr>
            <w:tcW w:type="dxa" w:w="1134"/>
          </w:tcPr>
          <w:p>
            <w:pPr>
              <w:jc w:val="center"/>
            </w:pPr>
            <w:r>
              <w:rPr>
                <w:b/>
                <w:sz w:val="17"/>
              </w:rPr>
              <w:t>既存カバー済み</w:t>
            </w:r>
          </w:p>
        </w:tc>
        <w:tc>
          <w:tcPr>
            <w:tcW w:type="dxa" w:w="1134"/>
          </w:tcPr>
          <w:p>
            <w:pPr>
              <w:jc w:val="center"/>
            </w:pPr>
            <w:r>
              <w:rPr>
                <w:b/>
                <w:sz w:val="17"/>
              </w:rPr>
              <w:t>未カバー</w:t>
            </w:r>
          </w:p>
        </w:tc>
        <w:tc>
          <w:tcPr>
            <w:tcW w:type="dxa" w:w="1134"/>
          </w:tcPr>
          <w:p>
            <w:pPr>
              <w:jc w:val="center"/>
            </w:pPr>
            <w:r>
              <w:rPr>
                <w:b/>
                <w:sz w:val="17"/>
              </w:rPr>
              <w:t>未カバー率</w:t>
            </w:r>
          </w:p>
        </w:tc>
      </w:tr>
      <w:tr>
        <w:tc>
          <w:tcPr>
            <w:tcW w:type="dxa" w:w="1417"/>
          </w:tcPr>
          <w:p>
            <w:r>
              <w:rPr>
                <w:sz w:val="17"/>
              </w:rPr>
              <w:t>BR（分岐網羅）</w:t>
            </w:r>
          </w:p>
        </w:tc>
        <w:tc>
          <w:tcPr>
            <w:tcW w:type="dxa" w:w="1134"/>
          </w:tcPr>
          <w:p>
            <w:r>
              <w:rPr>
                <w:sz w:val="17"/>
              </w:rPr>
              <w:t>55</w:t>
            </w:r>
          </w:p>
        </w:tc>
        <w:tc>
          <w:tcPr>
            <w:tcW w:type="dxa" w:w="1134"/>
          </w:tcPr>
          <w:p>
            <w:r>
              <w:rPr>
                <w:sz w:val="17"/>
              </w:rPr>
              <w:t>26</w:t>
            </w:r>
          </w:p>
        </w:tc>
        <w:tc>
          <w:tcPr>
            <w:tcW w:type="dxa" w:w="1134"/>
          </w:tcPr>
          <w:p>
            <w:r>
              <w:rPr>
                <w:sz w:val="17"/>
              </w:rPr>
              <w:t>29</w:t>
            </w:r>
          </w:p>
        </w:tc>
        <w:tc>
          <w:tcPr>
            <w:tcW w:type="dxa" w:w="1134"/>
          </w:tcPr>
          <w:p>
            <w:r>
              <w:rPr>
                <w:sz w:val="17"/>
              </w:rPr>
              <w:t>52.7%</w:t>
            </w:r>
          </w:p>
        </w:tc>
      </w:tr>
      <w:tr>
        <w:tc>
          <w:tcPr>
            <w:tcW w:type="dxa" w:w="1417"/>
          </w:tcPr>
          <w:p>
            <w:r>
              <w:rPr>
                <w:sz w:val="17"/>
              </w:rPr>
              <w:t>EC（同値クラス）</w:t>
            </w:r>
          </w:p>
        </w:tc>
        <w:tc>
          <w:tcPr>
            <w:tcW w:type="dxa" w:w="1134"/>
          </w:tcPr>
          <w:p>
            <w:r>
              <w:rPr>
                <w:sz w:val="17"/>
              </w:rPr>
              <w:t>27</w:t>
            </w:r>
          </w:p>
        </w:tc>
        <w:tc>
          <w:tcPr>
            <w:tcW w:type="dxa" w:w="1134"/>
          </w:tcPr>
          <w:p>
            <w:r>
              <w:rPr>
                <w:sz w:val="17"/>
              </w:rPr>
              <w:t>8</w:t>
            </w:r>
          </w:p>
        </w:tc>
        <w:tc>
          <w:tcPr>
            <w:tcW w:type="dxa" w:w="1134"/>
          </w:tcPr>
          <w:p>
            <w:r>
              <w:rPr>
                <w:sz w:val="17"/>
              </w:rPr>
              <w:t>19</w:t>
            </w:r>
          </w:p>
        </w:tc>
        <w:tc>
          <w:tcPr>
            <w:tcW w:type="dxa" w:w="1134"/>
          </w:tcPr>
          <w:p>
            <w:r>
              <w:rPr>
                <w:sz w:val="17"/>
              </w:rPr>
              <w:t>70.4%</w:t>
            </w:r>
          </w:p>
        </w:tc>
      </w:tr>
      <w:tr>
        <w:tc>
          <w:tcPr>
            <w:tcW w:type="dxa" w:w="1417"/>
          </w:tcPr>
          <w:p>
            <w:r>
              <w:rPr>
                <w:sz w:val="17"/>
              </w:rPr>
              <w:t>BV（境界値）</w:t>
            </w:r>
          </w:p>
        </w:tc>
        <w:tc>
          <w:tcPr>
            <w:tcW w:type="dxa" w:w="1134"/>
          </w:tcPr>
          <w:p>
            <w:r>
              <w:rPr>
                <w:sz w:val="17"/>
              </w:rPr>
              <w:t>11</w:t>
            </w:r>
          </w:p>
        </w:tc>
        <w:tc>
          <w:tcPr>
            <w:tcW w:type="dxa" w:w="1134"/>
          </w:tcPr>
          <w:p>
            <w:r>
              <w:rPr>
                <w:sz w:val="17"/>
              </w:rPr>
              <w:t>3</w:t>
            </w:r>
          </w:p>
        </w:tc>
        <w:tc>
          <w:tcPr>
            <w:tcW w:type="dxa" w:w="1134"/>
          </w:tcPr>
          <w:p>
            <w:r>
              <w:rPr>
                <w:sz w:val="17"/>
              </w:rPr>
              <w:t>8</w:t>
            </w:r>
          </w:p>
        </w:tc>
        <w:tc>
          <w:tcPr>
            <w:tcW w:type="dxa" w:w="1134"/>
          </w:tcPr>
          <w:p>
            <w:r>
              <w:rPr>
                <w:sz w:val="17"/>
              </w:rPr>
              <w:t>72.7%</w:t>
            </w:r>
          </w:p>
        </w:tc>
      </w:tr>
      <w:tr>
        <w:tc>
          <w:tcPr>
            <w:tcW w:type="dxa" w:w="1417"/>
          </w:tcPr>
          <w:p>
            <w:r>
              <w:rPr>
                <w:sz w:val="17"/>
              </w:rPr>
              <w:t>ER（エラーパス）</w:t>
            </w:r>
          </w:p>
        </w:tc>
        <w:tc>
          <w:tcPr>
            <w:tcW w:type="dxa" w:w="1134"/>
          </w:tcPr>
          <w:p>
            <w:r>
              <w:rPr>
                <w:sz w:val="17"/>
              </w:rPr>
              <w:t>3</w:t>
            </w:r>
          </w:p>
        </w:tc>
        <w:tc>
          <w:tcPr>
            <w:tcW w:type="dxa" w:w="1134"/>
          </w:tcPr>
          <w:p>
            <w:r>
              <w:rPr>
                <w:sz w:val="17"/>
              </w:rPr>
              <w:t>1</w:t>
            </w:r>
          </w:p>
        </w:tc>
        <w:tc>
          <w:tcPr>
            <w:tcW w:type="dxa" w:w="1134"/>
          </w:tcPr>
          <w:p>
            <w:r>
              <w:rPr>
                <w:sz w:val="17"/>
              </w:rPr>
              <w:t>2</w:t>
            </w:r>
          </w:p>
        </w:tc>
        <w:tc>
          <w:tcPr>
            <w:tcW w:type="dxa" w:w="1134"/>
          </w:tcPr>
          <w:p>
            <w:r>
              <w:rPr>
                <w:sz w:val="17"/>
              </w:rPr>
              <w:t>66.7%</w:t>
            </w:r>
          </w:p>
        </w:tc>
      </w:tr>
      <w:tr>
        <w:tc>
          <w:tcPr>
            <w:tcW w:type="dxa" w:w="1417"/>
          </w:tcPr>
          <w:p>
            <w:r>
              <w:rPr>
                <w:sz w:val="17"/>
              </w:rPr>
              <w:t>DP（依存切替）</w:t>
            </w:r>
          </w:p>
        </w:tc>
        <w:tc>
          <w:tcPr>
            <w:tcW w:type="dxa" w:w="1134"/>
          </w:tcPr>
          <w:p>
            <w:r>
              <w:rPr>
                <w:sz w:val="17"/>
              </w:rPr>
              <w:t>3</w:t>
            </w:r>
          </w:p>
        </w:tc>
        <w:tc>
          <w:tcPr>
            <w:tcW w:type="dxa" w:w="1134"/>
          </w:tcPr>
          <w:p>
            <w:r>
              <w:rPr>
                <w:sz w:val="17"/>
              </w:rPr>
              <w:t>0</w:t>
            </w:r>
          </w:p>
        </w:tc>
        <w:tc>
          <w:tcPr>
            <w:tcW w:type="dxa" w:w="1134"/>
          </w:tcPr>
          <w:p>
            <w:r>
              <w:rPr>
                <w:sz w:val="17"/>
              </w:rPr>
              <w:t>3</w:t>
            </w:r>
          </w:p>
        </w:tc>
        <w:tc>
          <w:tcPr>
            <w:tcW w:type="dxa" w:w="1134"/>
          </w:tcPr>
          <w:p>
            <w:r>
              <w:rPr>
                <w:sz w:val="17"/>
              </w:rPr>
              <w:t>100%</w:t>
            </w:r>
          </w:p>
        </w:tc>
      </w:tr>
      <w:tr>
        <w:tc>
          <w:tcPr>
            <w:tcW w:type="dxa" w:w="1417"/>
          </w:tcPr>
          <w:p>
            <w:r>
              <w:rPr>
                <w:sz w:val="17"/>
              </w:rPr>
              <w:t>合計</w:t>
            </w:r>
          </w:p>
        </w:tc>
        <w:tc>
          <w:tcPr>
            <w:tcW w:type="dxa" w:w="1134"/>
          </w:tcPr>
          <w:p>
            <w:r>
              <w:rPr>
                <w:sz w:val="17"/>
              </w:rPr>
              <w:t>99</w:t>
            </w:r>
          </w:p>
        </w:tc>
        <w:tc>
          <w:tcPr>
            <w:tcW w:type="dxa" w:w="1134"/>
          </w:tcPr>
          <w:p>
            <w:r>
              <w:rPr>
                <w:sz w:val="17"/>
              </w:rPr>
              <w:t>38</w:t>
            </w:r>
          </w:p>
        </w:tc>
        <w:tc>
          <w:tcPr>
            <w:tcW w:type="dxa" w:w="1134"/>
          </w:tcPr>
          <w:p>
            <w:r>
              <w:rPr>
                <w:sz w:val="17"/>
              </w:rPr>
              <w:t>61</w:t>
            </w:r>
          </w:p>
        </w:tc>
        <w:tc>
          <w:tcPr>
            <w:tcW w:type="dxa" w:w="1134"/>
          </w:tcPr>
          <w:p>
            <w:r>
              <w:rPr>
                <w:sz w:val="17"/>
              </w:rPr>
              <w:t>61.6%</w:t>
            </w:r>
          </w:p>
        </w:tc>
      </w:tr>
    </w:tbl>
    <w:p>
      <w:pPr>
        <w:spacing w:after="80" w:before="0" w:line="320" w:lineRule="exact"/>
      </w:pPr>
      <w:r>
        <w:rPr>
          <w:rFonts w:ascii="游明朝" w:hAnsi="游明朝"/>
          <w:b w:val="0"/>
          <w:sz w:val="20"/>
        </w:rPr>
        <w:t>全要求の61.6%（61件/99件）が既存テストでカバーされていなかった。特にDP（依存切替: 類似関数間の差異検証や往復変換検証）は既存テストに完全に欠落しており、BV（境界値）とEC（同値クラス）も70%以上が未カバーであった。一方、BR（分岐網羅）は比較的カバーされていた（未カバー率52.7%）。これは、既存の手動テストが主要な分岐パスの動作確認に偏り、境界値の体系的検証や関数間の整合性検証が不足していることを示す。</w:t>
      </w:r>
    </w:p>
    <w:p>
      <w:pPr>
        <w:spacing w:after="80" w:before="0" w:line="320" w:lineRule="exact"/>
      </w:pPr>
      <w:r>
        <w:rPr>
          <w:rFonts w:ascii="游明朝" w:hAnsi="游明朝"/>
          <w:b w:val="0"/>
          <w:sz w:val="20"/>
        </w:rPr>
        <w:t>この分析は、TRMがテスト生成の「前」に品質ギャップを種別ごとに特定できることを実証するものであり、P2（網羅性の事前把握）への解決策となる。</w:t>
      </w:r>
    </w:p>
    <w:p>
      <w:pPr>
        <w:pStyle w:val="Heading2"/>
        <w:spacing w:before="200" w:after="80"/>
      </w:pPr>
      <w:r>
        <w:rPr>
          <w:color w:val="000000"/>
          <w:sz w:val="26"/>
        </w:rPr>
        <w:t>4. 結論</w:t>
      </w:r>
    </w:p>
    <w:p>
      <w:pPr>
        <w:spacing w:after="80" w:before="0" w:line="320" w:lineRule="exact"/>
      </w:pPr>
      <w:r>
        <w:rPr>
          <w:rFonts w:ascii="游明朝" w:hAnsi="游明朝"/>
          <w:b w:val="0"/>
          <w:sz w:val="20"/>
        </w:rPr>
        <w:t>本研究では、ソースコードの静的解析からテスト要求モデル（TRM）をYAML形式で生成し、TRMを入力としてLLMに単体テストを生成させる手法を提案し、OSSのC++プロジェクトの8関数（約385行）で実証評価した。得られた主要な結果は以下の4点である。</w:t>
      </w:r>
    </w:p>
    <w:p>
      <w:pPr>
        <w:spacing w:after="80" w:before="0" w:line="320" w:lineRule="exact"/>
      </w:pPr>
      <w:r>
        <w:rPr>
          <w:rFonts w:ascii="游明朝" w:hAnsi="游明朝"/>
          <w:b w:val="0"/>
          <w:sz w:val="20"/>
        </w:rPr>
        <w:t>(1) TRM生成: 5種別（BR/EC/BV/ER/DP）で99件のテスト要求を構造化定義した。約385行のコードに対し平均3.9行/要求の密度でテスト要求を抽出した。これにより、テスト生成の「前」にテスト設計の全体像を把握・レビューできる状態を実現した（P1の解決）。</w:t>
      </w:r>
    </w:p>
    <w:p>
      <w:pPr>
        <w:spacing w:after="80" w:before="0" w:line="320" w:lineRule="exact"/>
      </w:pPr>
      <w:r>
        <w:rPr>
          <w:rFonts w:ascii="游明朝" w:hAnsi="游明朝"/>
          <w:b w:val="0"/>
          <w:sz w:val="20"/>
        </w:rPr>
        <w:t>(2) テスト生成: TRMを入力として145件のテストコードを生成し、テスト要求カバー率100%を達成した。既存の手動テスト約45件の約3.2倍を体系的に生成した。</w:t>
      </w:r>
    </w:p>
    <w:p>
      <w:pPr>
        <w:spacing w:after="80" w:before="0" w:line="320" w:lineRule="exact"/>
      </w:pPr>
      <w:r>
        <w:rPr>
          <w:rFonts w:ascii="游明朝" w:hAnsi="游明朝"/>
          <w:b w:val="0"/>
          <w:sz w:val="20"/>
        </w:rPr>
        <w:t>(3) 実行精度と障害診断: 初回PASS率91.7%。FAIL 12件は全てLLMの期待値推論誤りであり、TRM IDにより5つの原因分類に即時特定できた。修正後に全145件がPASSした（P3の解決）。</w:t>
      </w:r>
    </w:p>
    <w:p>
      <w:pPr>
        <w:spacing w:after="80" w:before="0" w:line="320" w:lineRule="exact"/>
      </w:pPr>
      <w:r>
        <w:rPr>
          <w:rFonts w:ascii="游明朝" w:hAnsi="游明朝"/>
          <w:b w:val="0"/>
          <w:sz w:val="20"/>
        </w:rPr>
        <w:t>(4) 品質ギャップ発見: 既存テストの未カバー要求61件（61.6%）を種別ごとに特定した。特にDP種別は100%未カバーであり、BV・ECも70%以上が未カバーであった。TRMにより、テスト生成前に品質の弱点を構造的に把握できた（P2の解決）。</w:t>
      </w:r>
    </w:p>
    <w:p>
      <w:pPr>
        <w:spacing w:after="80" w:before="0" w:line="320" w:lineRule="exact"/>
      </w:pPr>
      <w:r>
        <w:rPr>
          <w:rFonts w:ascii="游明朝" w:hAnsi="游明朝"/>
          <w:b w:val="0"/>
          <w:sz w:val="20"/>
        </w:rPr>
        <w:t>本実験は純粋関数8関数に限定されており、以下が今後の課題である。第一に、副作用を持つ関数への適用（スタブ・モック戦略の拡張が必要）。第二に、gcov/lcov等によるコードカバレッジ（C0/C1）との相関分析。第三に、他のプログラミング言語・プロジェクトでの再現実験。第四に、TRMの5種別体系のさらなる拡張（状態遷移テスト・組み合わせテスト等への対応）。</w:t>
      </w:r>
    </w:p>
    <w:p>
      <w:pPr>
        <w:spacing w:after="40" w:before="0" w:line="320" w:lineRule="exact"/>
      </w:pPr>
      <w:r>
        <w:rPr>
          <w:rFonts w:ascii="游明朝" w:hAnsi="游明朝"/>
          <w:b w:val="0"/>
          <w:sz w:val="8"/>
        </w:rPr>
      </w:r>
    </w:p>
    <w:p>
      <w:pPr>
        <w:spacing w:after="60" w:before="0" w:line="320" w:lineRule="exact"/>
      </w:pPr>
      <w:r>
        <w:rPr>
          <w:rFonts w:ascii="游明朝" w:hAnsi="游明朝"/>
          <w:b/>
          <w:sz w:val="19"/>
        </w:rPr>
        <w:t>参考文献</w:t>
      </w:r>
    </w:p>
    <w:p>
      <w:pPr>
        <w:spacing w:after="60" w:before="0" w:line="320" w:lineRule="exact"/>
      </w:pPr>
      <w:r>
        <w:rPr>
          <w:rFonts w:ascii="游明朝" w:hAnsi="游明朝"/>
          <w:b w:val="0"/>
          <w:sz w:val="16"/>
        </w:rPr>
        <w:t>[1] C. Lemieux, J. P. Inala, S. K. Lahiri, and S. Sen, "CodaMOSA: Escaping Coverage Plateaus in Test Generation with Pre-trained Large Language Models," in Proc. ICSE 2023, pp. 919-931, 2023.</w:t>
        <w:br/>
        <w:t>https://dl.acm.org/doi/10.1109/icse48619.2023.00085</w:t>
      </w:r>
    </w:p>
    <w:p>
      <w:pPr>
        <w:spacing w:after="60" w:before="0" w:line="320" w:lineRule="exact"/>
      </w:pPr>
      <w:r>
        <w:rPr>
          <w:rFonts w:ascii="游明朝" w:hAnsi="游明朝"/>
          <w:b w:val="0"/>
          <w:sz w:val="16"/>
        </w:rPr>
        <w:t>[2] Y. Chen et al., "ChatUniTest: A Framework for LLM-Based Test Generation," in Companion Proc. FSE 2024, ACM, 2024.</w:t>
        <w:br/>
        <w:t>https://dl.acm.org/doi/abs/10.1145/3663529.3663801</w:t>
      </w:r>
    </w:p>
    <w:p>
      <w:pPr>
        <w:spacing w:after="60" w:before="0" w:line="320" w:lineRule="exact"/>
      </w:pPr>
      <w:r>
        <w:rPr>
          <w:rFonts w:ascii="游明朝" w:hAnsi="游明朝"/>
          <w:b w:val="0"/>
          <w:sz w:val="16"/>
        </w:rPr>
        <w:t>[3] M. Schafer et al., "An Empirical Evaluation of Using Large Language Models for Automated Unit Test Generation," IEEE Transactions on Software Engineering, vol. 50, 2024.</w:t>
        <w:br/>
        <w:t>https://ieeexplore.ieee.org/document/10329992/</w:t>
      </w:r>
    </w:p>
    <w:p>
      <w:pPr>
        <w:spacing w:after="60" w:before="0" w:line="320" w:lineRule="exact"/>
      </w:pPr>
      <w:r>
        <w:rPr>
          <w:rFonts w:ascii="游明朝" w:hAnsi="游明朝"/>
          <w:b w:val="0"/>
          <w:sz w:val="16"/>
        </w:rPr>
        <w:t>[4] J. A. Ramos, E. M. Bader, J. Bader, and S. Iyer, "CoverUp: Coverage-Guided LLM-Based Test Generation," arXiv:2403.16218, 2024.</w:t>
        <w:br/>
        <w:t>https://arxiv.org/abs/2403.16218</w:t>
      </w:r>
    </w:p>
    <w:p>
      <w:pPr>
        <w:spacing w:after="60" w:before="0" w:line="320" w:lineRule="exact"/>
      </w:pPr>
      <w:r>
        <w:rPr>
          <w:rFonts w:ascii="游明朝" w:hAnsi="游明朝"/>
          <w:b w:val="0"/>
          <w:sz w:val="16"/>
        </w:rPr>
        <w:t>[5] N. S. Mathews and M. Nagappan, "Design choices made by LLM-based test generators prevent them from finding bugs," arXiv:2412.14137, 2024.</w:t>
        <w:br/>
        <w:t>https://arxiv.org/abs/2412.14137</w:t>
      </w:r>
    </w:p>
    <w:p>
      <w:pPr>
        <w:spacing w:after="60" w:before="0" w:line="320" w:lineRule="exact"/>
      </w:pPr>
      <w:r>
        <w:rPr>
          <w:rFonts w:ascii="游明朝" w:hAnsi="游明朝"/>
          <w:b w:val="0"/>
          <w:sz w:val="16"/>
        </w:rPr>
        <w:t>[6] B. Chu, Y. Feng, K. Liu, Z. Guo, Y. Zhang, H. Shi, Z. Nan, and B. Xu, "Large Language Models for Unit Test Generation: Achievements, Challenges, and the Road Ahead," arXiv:2511.21382, 2025.</w:t>
        <w:br/>
        <w:t>https://arxiv.org/abs/2511.21382</w:t>
      </w:r>
    </w:p>
    <w:p>
      <w:pPr>
        <w:spacing w:after="60" w:before="0" w:line="320" w:lineRule="exact"/>
      </w:pPr>
      <w:r>
        <w:rPr>
          <w:rFonts w:ascii="游明朝" w:hAnsi="游明朝"/>
          <w:b w:val="0"/>
          <w:sz w:val="16"/>
        </w:rPr>
        <w:t>[7] "Test smells in LLM-Generated Unit Tests," arXiv:2410.10628, 2024.</w:t>
        <w:br/>
        <w:t>https://arxiv.org/abs/2410.10628</w:t>
      </w:r>
    </w:p>
    <w:p>
      <w:pPr>
        <w:spacing w:after="60" w:before="0" w:line="320" w:lineRule="exact"/>
      </w:pPr>
      <w:r>
        <w:rPr>
          <w:rFonts w:ascii="游明朝" w:hAnsi="游明朝"/>
          <w:b w:val="0"/>
          <w:sz w:val="16"/>
        </w:rPr>
        <w:t>[8] "Do LLMs generate test oracles that capture the actual or the expected program behaviour?" arXiv:2410.21136, 2024.</w:t>
        <w:br/>
        <w:t>https://arxiv.org/abs/2410.21136</w:t>
      </w:r>
    </w:p>
    <w:p>
      <w:pPr>
        <w:spacing w:after="60" w:before="0" w:line="320" w:lineRule="exact"/>
      </w:pPr>
      <w:r>
        <w:rPr>
          <w:rFonts w:ascii="游明朝" w:hAnsi="游明朝"/>
          <w:b w:val="0"/>
          <w:sz w:val="16"/>
        </w:rPr>
        <w:t>[9] "Enhancing LLM-based Test Generation for Hard-to-Cover Branches via Program Analysis (TELPA)," ACM TOSEM, 2024.</w:t>
        <w:br/>
        <w:t>https://dl.acm.org/doi/10.1145/3748505</w:t>
      </w:r>
    </w:p>
    <w:p>
      <w:pPr>
        <w:spacing w:after="60" w:before="0" w:line="320" w:lineRule="exact"/>
      </w:pPr>
      <w:r>
        <w:rPr>
          <w:rFonts w:ascii="游明朝" w:hAnsi="游明朝"/>
          <w:b w:val="0"/>
          <w:sz w:val="16"/>
        </w:rPr>
        <w:t>[10] "LLMLOOP: Improving LLM-Generated Code and Tests through Automated Iterative Feedback Loops," in Proc. ICSME 2025, IEEE, 2025.</w:t>
        <w:br/>
        <w:t>https://arxiv.org/pdf/2603.23613</w:t>
      </w:r>
    </w:p>
    <w:p>
      <w:pPr>
        <w:spacing w:after="60" w:before="0" w:line="320" w:lineRule="exact"/>
      </w:pPr>
      <w:r>
        <w:rPr>
          <w:rFonts w:ascii="游明朝" w:hAnsi="游明朝"/>
          <w:b w:val="0"/>
          <w:sz w:val="16"/>
        </w:rPr>
        <w:t>[11] "Multi-Step Generation of Test Specifications using Large Language Models," in Proc. ACL 2025 Industry Track, 2025.</w:t>
        <w:br/>
        <w:t>https://aclanthology.org/2025.acl-industry.11.pdf</w:t>
      </w:r>
    </w:p>
    <w:p>
      <w:pPr>
        <w:spacing w:after="60" w:before="0" w:line="320" w:lineRule="exact"/>
      </w:pPr>
      <w:r>
        <w:rPr>
          <w:rFonts w:ascii="游明朝" w:hAnsi="游明朝"/>
          <w:b w:val="0"/>
          <w:sz w:val="16"/>
        </w:rPr>
        <w:t>[12] G. Adzic, Specification by Example: How Successful Teams Deliver the Right Software, Manning, 2011.</w:t>
      </w:r>
    </w:p>
    <w:p>
      <w:pPr>
        <w:spacing w:after="60" w:before="0" w:line="320" w:lineRule="exact"/>
      </w:pPr>
      <w:r>
        <w:rPr>
          <w:rFonts w:ascii="游明朝" w:hAnsi="游明朝"/>
          <w:b w:val="0"/>
          <w:sz w:val="16"/>
        </w:rPr>
        <w:t>[13] S. Dou et al., "What's Wrong with Your Code Generated by Large Language Models? An Extensive Study," arXiv:2407.06153, 2024.</w:t>
        <w:br/>
        <w:t>https://arxiv.org/abs/2407.06153</w:t>
      </w:r>
    </w:p>
    <w:p>
      <w:pPr>
        <w:spacing w:after="60" w:before="0" w:line="320" w:lineRule="exact"/>
      </w:pPr>
      <w:r>
        <w:rPr>
          <w:rFonts w:ascii="游明朝" w:hAnsi="游明朝"/>
          <w:b w:val="0"/>
          <w:sz w:val="16"/>
        </w:rPr>
        <w:t>[14] "Quality Assurance of LLM-generated Code: Addressing Non-Functional Quality Characteristics," arXiv:2511.10271, 2025.</w:t>
        <w:br/>
        <w:t>https://arxiv.org/html/2511.10271v1</w:t>
      </w:r>
    </w:p>
    <w:p>
      <w:pPr>
        <w:spacing w:after="60" w:before="0" w:line="320" w:lineRule="exact"/>
      </w:pPr>
      <w:r>
        <w:rPr>
          <w:rFonts w:ascii="游明朝" w:hAnsi="游明朝"/>
          <w:b w:val="0"/>
          <w:sz w:val="16"/>
        </w:rPr>
        <w:t>[15] 「生成AIを活用したテストパターンマトリックスを用いたテスト生成」, SQiP 2024 一般発表 A4-1, 2024.</w:t>
        <w:br/>
        <w:t>https://www.juse.jp/sqip/symposium/2024/timetable/files/A4-1_ronbun.pdf</w:t>
      </w:r>
    </w:p>
    <w:p>
      <w:pPr>
        <w:spacing w:after="60" w:before="0" w:line="320" w:lineRule="exact"/>
      </w:pPr>
      <w:r>
        <w:rPr>
          <w:rFonts w:ascii="游明朝" w:hAnsi="游明朝"/>
          <w:b w:val="0"/>
          <w:sz w:val="16"/>
        </w:rPr>
        <w:t>[16] 産業技術総合研究所 (AIST), 「生成AI品質マネジメントガイドライン第1版」, Rev. 1.0.0, 2025.</w:t>
        <w:br/>
        <w:t>https://www.digiarc.aist.go.jp/publication/aiqm/genaiqm-guidelines-v1.html</w:t>
      </w:r>
    </w:p>
    <w:p>
      <w:pPr>
        <w:spacing w:after="60" w:before="0" w:line="320" w:lineRule="exact"/>
      </w:pPr>
      <w:r>
        <w:rPr>
          <w:rFonts w:ascii="游明朝" w:hAnsi="游明朝"/>
          <w:b w:val="0"/>
          <w:sz w:val="16"/>
        </w:rPr>
        <w:t>[17] "Large Language Models for Software Testing: A Research Roadmap," arXiv:2509.25043, 2025.</w:t>
        <w:br/>
        <w:t>https://arxiv.org/html/2509.25043v1</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0" w:lineRule="exact"/>
    </w:pPr>
    <w:rPr>
      <w:rFonts w:ascii="游明朝" w:hAnsi="游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