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20" w:lineRule="exact"/>
        <w:jc w:val="center"/>
      </w:pPr>
      <w:r>
        <w:rPr>
          <w:rFonts w:ascii="游明朝" w:hAnsi="游明朝"/>
          <w:b/>
          <w:i w:val="0"/>
          <w:sz w:val="24"/>
        </w:rPr>
        <w:t>ソフトウェア品質シンポジウム2026　「経験論文」「経験発表」</w:t>
      </w:r>
    </w:p>
    <w:p>
      <w:pPr>
        <w:spacing w:after="280" w:before="0" w:line="320" w:lineRule="exact"/>
        <w:jc w:val="center"/>
      </w:pPr>
      <w:r>
        <w:rPr>
          <w:rFonts w:ascii="游明朝" w:hAnsi="游明朝"/>
          <w:b/>
          <w:i w:val="0"/>
          <w:sz w:val="22"/>
        </w:rPr>
        <w:t>発表申込／アブストラクト　記入用紙</w:t>
      </w:r>
    </w:p>
    <w:p>
      <w:pPr>
        <w:spacing w:after="160" w:before="0" w:line="320" w:lineRule="exact"/>
      </w:pPr>
      <w:r>
        <w:rPr>
          <w:rFonts w:ascii="游明朝" w:hAnsi="游明朝"/>
          <w:b/>
          <w:i w:val="0"/>
          <w:sz w:val="22"/>
        </w:rPr>
        <w:t>〔発表申込書〕</w:t>
      </w:r>
    </w:p>
    <w:p>
      <w:pPr>
        <w:spacing w:after="80" w:before="0" w:line="320" w:lineRule="exact"/>
      </w:pPr>
      <w:r>
        <w:rPr>
          <w:rFonts w:ascii="游明朝" w:hAnsi="游明朝"/>
          <w:b/>
          <w:i w:val="0"/>
          <w:sz w:val="20"/>
        </w:rPr>
        <w:t>タイトル</w:t>
      </w:r>
    </w:p>
    <w:p>
      <w:pPr>
        <w:spacing w:after="80" w:before="0" w:line="320" w:lineRule="exact"/>
      </w:pPr>
      <w:r>
        <w:rPr>
          <w:rFonts w:ascii="游明朝" w:hAnsi="游明朝"/>
          <w:b w:val="0"/>
          <w:i w:val="0"/>
          <w:sz w:val="21"/>
        </w:rPr>
        <w:t>静的解析に基づくテスト要求モデルの自動生成と、それを用いたLLMテスト生成の実証評価</w:t>
      </w:r>
    </w:p>
    <w:p>
      <w:pPr>
        <w:spacing w:after="80" w:before="0" w:line="320" w:lineRule="exact"/>
      </w:pPr>
      <w:r>
        <w:rPr>
          <w:rFonts w:ascii="游明朝" w:hAnsi="游明朝"/>
          <w:b/>
          <w:i w:val="0"/>
          <w:sz w:val="20"/>
        </w:rPr>
        <w:t>申込区分</w:t>
      </w:r>
    </w:p>
    <w:p>
      <w:pPr>
        <w:spacing w:after="80" w:before="0" w:line="320" w:lineRule="exact"/>
      </w:pPr>
      <w:r>
        <w:rPr>
          <w:rFonts w:ascii="游明朝" w:hAnsi="游明朝"/>
          <w:b w:val="0"/>
          <w:i w:val="0"/>
          <w:sz w:val="21"/>
        </w:rPr>
        <w:t>経験発表</w:t>
      </w:r>
    </w:p>
    <w:p>
      <w:pPr>
        <w:spacing w:after="80" w:before="0" w:line="320" w:lineRule="exact"/>
      </w:pPr>
      <w:r>
        <w:rPr>
          <w:rFonts w:ascii="游明朝" w:hAnsi="游明朝"/>
          <w:b/>
          <w:i w:val="0"/>
          <w:sz w:val="20"/>
        </w:rPr>
        <w:t>カテゴリ</w:t>
      </w:r>
    </w:p>
    <w:p>
      <w:pPr>
        <w:spacing w:after="80" w:before="0" w:line="320" w:lineRule="exact"/>
      </w:pPr>
      <w:r>
        <w:rPr>
          <w:rFonts w:ascii="游明朝" w:hAnsi="游明朝"/>
          <w:b w:val="0"/>
          <w:i w:val="0"/>
          <w:sz w:val="21"/>
        </w:rPr>
        <w:t>品質管理・テスト技術の観点</w:t>
      </w:r>
    </w:p>
    <w:p>
      <w:pPr>
        <w:spacing w:after="80" w:before="0" w:line="320" w:lineRule="exact"/>
      </w:pPr>
      <w:r>
        <w:rPr>
          <w:rFonts w:ascii="游明朝" w:hAnsi="游明朝"/>
          <w:b/>
          <w:i w:val="0"/>
          <w:sz w:val="20"/>
        </w:rPr>
        <w:t>キーワード</w:t>
      </w:r>
    </w:p>
    <w:p>
      <w:pPr>
        <w:spacing w:after="280" w:before="0" w:line="320" w:lineRule="exact"/>
      </w:pPr>
      <w:r>
        <w:rPr>
          <w:rFonts w:ascii="游明朝" w:hAnsi="游明朝"/>
          <w:b w:val="0"/>
          <w:i w:val="0"/>
          <w:sz w:val="21"/>
        </w:rPr>
        <w:t>ホワイトボックステスト / テスト要求モデル / LLM / 静的解析 / 単体テスト生成 / トレーサビリティ</w:t>
      </w:r>
    </w:p>
    <w:p>
      <w:r>
        <w:br w:type="page"/>
      </w:r>
    </w:p>
    <w:p>
      <w:pPr>
        <w:spacing w:after="200" w:before="0" w:line="320" w:lineRule="exact"/>
        <w:jc w:val="center"/>
      </w:pPr>
      <w:r>
        <w:rPr>
          <w:rFonts w:ascii="游明朝" w:hAnsi="游明朝"/>
          <w:b/>
          <w:i w:val="0"/>
          <w:sz w:val="22"/>
        </w:rPr>
        <w:t>〔アブストラクト記入用紙〕</w:t>
      </w:r>
    </w:p>
    <w:p>
      <w:pPr>
        <w:spacing w:after="80" w:before="0" w:line="320" w:lineRule="exact"/>
        <w:jc w:val="center"/>
      </w:pPr>
      <w:r>
        <w:rPr>
          <w:rFonts w:ascii="游明朝" w:hAnsi="游明朝"/>
          <w:b/>
          <w:i w:val="0"/>
          <w:sz w:val="26"/>
        </w:rPr>
        <w:t>静的解析に基づくテスト要求モデルの自動生成と、それを用いたLLMテスト生成の実証評価</w:t>
      </w:r>
    </w:p>
    <w:p>
      <w:pPr>
        <w:spacing w:after="40" w:before="0" w:line="320" w:lineRule="exact"/>
      </w:pPr>
      <w:r>
        <w:rPr>
          <w:rFonts w:ascii="游明朝" w:hAnsi="游明朝"/>
          <w:b w:val="0"/>
          <w:i w:val="0"/>
          <w:sz w:val="20"/>
        </w:rPr>
        <w:t>申込区分: 経験発表</w:t>
      </w:r>
    </w:p>
    <w:p>
      <w:pPr>
        <w:spacing w:after="40" w:before="0" w:line="320" w:lineRule="exact"/>
      </w:pPr>
      <w:r>
        <w:rPr>
          <w:rFonts w:ascii="游明朝" w:hAnsi="游明朝"/>
          <w:b w:val="0"/>
          <w:i w:val="0"/>
          <w:sz w:val="20"/>
        </w:rPr>
        <w:t>カテゴリ: 品質管理・テスト技術の観点</w:t>
      </w:r>
    </w:p>
    <w:p>
      <w:pPr>
        <w:spacing w:after="160" w:before="0" w:line="320" w:lineRule="exact"/>
      </w:pPr>
      <w:r>
        <w:rPr>
          <w:rFonts w:ascii="游明朝" w:hAnsi="游明朝"/>
          <w:b w:val="0"/>
          <w:i w:val="0"/>
          <w:sz w:val="20"/>
        </w:rPr>
        <w:t>キーワード: ホワイトボックステスト / テスト要求モデル / LLM / 静的解析 / 単体テスト生成 / トレーサビリティ</w:t>
      </w:r>
    </w:p>
    <w:p>
      <w:pPr>
        <w:pStyle w:val="Heading2"/>
        <w:spacing w:before="200" w:after="80"/>
      </w:pPr>
      <w:r>
        <w:rPr>
          <w:rFonts w:ascii="游明朝" w:hAnsi="游明朝"/>
          <w:color w:val="000000"/>
          <w:sz w:val="26"/>
        </w:rPr>
        <w:t>1. ねらい</w:t>
      </w:r>
    </w:p>
    <w:p>
      <w:pPr>
        <w:spacing w:before="160" w:after="40" w:line="320" w:lineRule="exact"/>
      </w:pPr>
      <w:r>
        <w:rPr>
          <w:rFonts w:ascii="游明朝" w:hAnsi="游明朝"/>
          <w:b/>
          <w:sz w:val="21"/>
        </w:rPr>
        <w:t>1.1 背景</w:t>
      </w:r>
    </w:p>
    <w:p>
      <w:pPr>
        <w:spacing w:after="80" w:before="0" w:line="320" w:lineRule="exact"/>
      </w:pPr>
      <w:r>
        <w:rPr>
          <w:rFonts w:ascii="游明朝" w:hAnsi="游明朝"/>
          <w:b w:val="0"/>
          <w:i w:val="0"/>
          <w:sz w:val="20"/>
        </w:rPr>
        <w:t>大規模言語モデル（LLM）の急速な発展により、ソフトウェア開発のワークフローは大きく変化しつつある。現在のLLM活用開発の主流は、荒い要求仕様からLLMに実装コードを直接生成させるパターンであり、評価が「要求から現れる基本機能の動作確認」に偏る傾向がある。しかし、LLMが生成したコードを実リリースに載せるためには、単体テスト・コンポーネントテストの層で品質を担保する必要がある。</w:t>
      </w:r>
    </w:p>
    <w:p>
      <w:pPr>
        <w:spacing w:after="80" w:before="0" w:line="320" w:lineRule="exact"/>
      </w:pPr>
      <w:r>
        <w:rPr>
          <w:rFonts w:ascii="游明朝" w:hAnsi="游明朝"/>
          <w:b w:val="0"/>
          <w:i w:val="0"/>
          <w:sz w:val="20"/>
        </w:rPr>
        <w:t>現状のLLMテスト生成手法（CodaMOSA [1]、ChatUniTest [2]、TestPilot [3]、CoverUp [4]、CoverAgent [5]、TELPA [6] 等）はカバレッジ向上やコンパイル成功率の改善に注力している。Chu et al. [7] による115本の体系的サーベイでは、LLMテスト生成研究の89%が「プロンプトエンジニアリングによる直接テスト生成」方式を採り、反復的な検証・修復ループで精度を改善するアーキテクチャが標準となっている。このアーキテクチャでは、テスト設計の意図はLLM内部に閉じたまま外部化されず、以下の3つの問題が構造的に未解決である。</w:t>
      </w:r>
    </w:p>
    <w:p>
      <w:pPr>
        <w:spacing w:before="160" w:after="40" w:line="320" w:lineRule="exact"/>
      </w:pPr>
      <w:r>
        <w:rPr>
          <w:rFonts w:ascii="游明朝" w:hAnsi="游明朝"/>
          <w:b/>
          <w:sz w:val="21"/>
        </w:rPr>
        <w:t>1.2 問題定義</w:t>
      </w:r>
    </w:p>
    <w:p>
      <w:pPr>
        <w:spacing w:after="80" w:before="0" w:line="320" w:lineRule="exact"/>
      </w:pPr>
      <w:r>
        <w:rPr>
          <w:rFonts w:ascii="游明朝" w:hAnsi="游明朝"/>
          <w:b/>
          <w:sz w:val="20"/>
        </w:rPr>
        <w:t xml:space="preserve">(P1) テスト設計根拠の不在: </w:t>
      </w:r>
      <w:r>
        <w:rPr>
          <w:rFonts w:ascii="游明朝" w:hAnsi="游明朝"/>
          <w:b w:val="0"/>
          <w:sz w:val="20"/>
        </w:rPr>
        <w:t>LLMが生成したテストが「何の分岐を」「どの同値クラスを」対象としているか不明であり、テスト設計の妥当性を第三者が検証できない。レビュー担当者は生成されたテストの妥当性を判断できず、結果として「LLMが作ったテストだから信頼できない」という属人的判断に陥る。</w:t>
      </w:r>
    </w:p>
    <w:p>
      <w:pPr>
        <w:spacing w:after="80" w:before="0" w:line="320" w:lineRule="exact"/>
      </w:pPr>
      <w:r>
        <w:rPr>
          <w:rFonts w:ascii="游明朝" w:hAnsi="游明朝"/>
          <w:b/>
          <w:sz w:val="20"/>
        </w:rPr>
        <w:t xml:space="preserve">(P2) 網羅性の事前把握が不可能: </w:t>
      </w:r>
      <w:r>
        <w:rPr>
          <w:rFonts w:ascii="游明朝" w:hAnsi="游明朝"/>
          <w:b w:val="0"/>
          <w:sz w:val="20"/>
        </w:rPr>
        <w:t>テスト群がソースコードのどの範囲をカバーしているかは、コンパイル・実行してカバレッジツールを通すまで分からない。テスト生成「前」に網羅性を設計・管理する手段がなく、テスト件数が多くても同じパスの重複テストばかりという状況を事前に検知できない。</w:t>
      </w:r>
    </w:p>
    <w:p>
      <w:pPr>
        <w:spacing w:after="80" w:before="0" w:line="320" w:lineRule="exact"/>
      </w:pPr>
      <w:r>
        <w:rPr>
          <w:rFonts w:ascii="游明朝" w:hAnsi="游明朝"/>
          <w:b/>
          <w:sz w:val="20"/>
        </w:rPr>
        <w:t xml:space="preserve">(P3) テスト失敗時の原因特定コスト: </w:t>
      </w:r>
      <w:r>
        <w:rPr>
          <w:rFonts w:ascii="游明朝" w:hAnsi="游明朝"/>
          <w:b w:val="0"/>
          <w:sz w:val="20"/>
        </w:rPr>
        <w:t>テスト失敗時に、生成テストのアサーションとソースコードを逐一突合する必要があり、原因分類に時間がかかる。例えば145件のテストが一斉に失敗した場合、テストコードとソースコードの突合に長時間を要する。</w:t>
      </w:r>
    </w:p>
    <w:p>
      <w:pPr>
        <w:spacing w:before="160" w:after="40" w:line="320" w:lineRule="exact"/>
      </w:pPr>
      <w:r>
        <w:rPr>
          <w:rFonts w:ascii="游明朝" w:hAnsi="游明朝"/>
          <w:b/>
          <w:sz w:val="21"/>
        </w:rPr>
        <w:t>1.3 目的と提案</w:t>
      </w:r>
    </w:p>
    <w:p>
      <w:pPr>
        <w:spacing w:after="80" w:before="0" w:line="320" w:lineRule="exact"/>
      </w:pPr>
      <w:r>
        <w:rPr>
          <w:rFonts w:ascii="游明朝" w:hAnsi="游明朝"/>
          <w:b w:val="0"/>
          <w:i w:val="0"/>
          <w:sz w:val="20"/>
        </w:rPr>
        <w:t>本研究は、これら3つの問題に対し、ソースコードの静的解析結果からホワイトボックステスト要求モデル（以下TRM: Test Requirement Model）をYAML形式で自動生成し、TRMを入力としてLLMにテストコードを生成させる手法を提案する。TRMは分岐条件・同値クラス・境界値をID付きで構造化した中間成果物であり、テスト生成の「前」にテスト設計の網羅性を定量評価できる。OSSプロジェクトのC++コード8関数に適用し、TRMの生成精度、テスト生成品質、テスト失敗時の診断効率を定量評価した。</w:t>
      </w:r>
    </w:p>
    <w:p>
      <w:pPr>
        <w:spacing w:before="160" w:after="40" w:line="320" w:lineRule="exact"/>
      </w:pPr>
      <w:r>
        <w:rPr>
          <w:rFonts w:ascii="游明朝" w:hAnsi="游明朝"/>
          <w:b/>
          <w:sz w:val="21"/>
        </w:rPr>
        <w:t>1.4 先行研究との差異</w:t>
      </w:r>
    </w:p>
    <w:p>
      <w:pPr>
        <w:spacing w:after="80" w:before="0" w:line="320" w:lineRule="exact"/>
      </w:pPr>
      <w:r>
        <w:rPr>
          <w:rFonts w:ascii="游明朝" w:hAnsi="游明朝"/>
          <w:b w:val="0"/>
          <w:i w:val="0"/>
          <w:sz w:val="20"/>
        </w:rPr>
        <w:t>先行手法はいずれも「LLMに直接テストコードを生成させ、その精度を反復的に改善する」アーキテクチャを採る [7]。Mathews &amp; Nagappan [8] は、CoverAgent等のLLMテスト生成ツールが「テスト通過」を優先する設計によりバグ発見と矛盾することを指摘している。また、LLM生成テストにはAssertion RouletteやMagic Number Test等のテストスメルが頻出し [9]、テストアサーションの正確性は50%以下で「実装された動作」を捉えがちであることが報告されている [10]。</w:t>
      </w:r>
    </w:p>
    <w:p>
      <w:pPr>
        <w:spacing w:after="80" w:before="0" w:line="320" w:lineRule="exact"/>
      </w:pPr>
      <w:r>
        <w:rPr>
          <w:rFonts w:ascii="游明朝" w:hAnsi="游明朝"/>
          <w:b w:val="0"/>
          <w:i w:val="0"/>
          <w:sz w:val="20"/>
        </w:rPr>
        <w:t>本研究はテスト生成の精度向上ではなく、テスト設計情報の構造化・外部化に焦点を当てる点で既存手法と目的が異なる。BDD/Specification by Example [11] は「非技術者にも可読なテスト仕様」という思想を共有するが、受入テスト・システムテスト層が対象であり、単体テスト層のコード構造に基づく品質情報の構造化は扱わない。ACL 2025の多段階テスト仕様生成 [12] は自然言語要求からのトップダウン方式であり、本研究の既存コードからのボトムアップ方式とは方向が異なる。</w:t>
      </w:r>
    </w:p>
    <w:p>
      <w:pPr>
        <w:pStyle w:val="Heading2"/>
        <w:spacing w:before="200" w:after="80"/>
      </w:pPr>
      <w:r>
        <w:rPr>
          <w:rFonts w:ascii="游明朝" w:hAnsi="游明朝"/>
          <w:color w:val="000000"/>
          <w:sz w:val="26"/>
        </w:rPr>
        <w:t>2. 実施概要</w:t>
      </w:r>
    </w:p>
    <w:p>
      <w:pPr>
        <w:spacing w:before="160" w:after="40" w:line="320" w:lineRule="exact"/>
      </w:pPr>
      <w:r>
        <w:rPr>
          <w:rFonts w:ascii="游明朝" w:hAnsi="游明朝"/>
          <w:b/>
          <w:sz w:val="21"/>
        </w:rPr>
        <w:t>2.1 手法</w:t>
      </w:r>
    </w:p>
    <w:p>
      <w:pPr>
        <w:spacing w:after="80" w:before="0" w:line="320" w:lineRule="exact"/>
      </w:pPr>
      <w:r>
        <w:rPr>
          <w:rFonts w:ascii="游明朝" w:hAnsi="游明朝"/>
          <w:b w:val="0"/>
          <w:i w:val="0"/>
          <w:sz w:val="20"/>
        </w:rPr>
        <w:t>提案手法は3段階のパイプラインである（図1）。各段階において大規模言語モデルを活用する。</w:t>
      </w:r>
    </w:p>
    <w:p>
      <w:pPr>
        <w:spacing w:after="80" w:before="0" w:line="320" w:lineRule="exact"/>
      </w:pPr>
      <w:r>
        <w:rPr>
          <w:rFonts w:ascii="游明朝" w:hAnsi="游明朝"/>
          <w:b/>
          <w:sz w:val="20"/>
        </w:rPr>
        <w:t xml:space="preserve">Step 1. 対象選定（静的解析 + LLM推論）: </w:t>
      </w:r>
      <w:r>
        <w:rPr>
          <w:rFonts w:ascii="游明朝" w:hAnsi="游明朝"/>
          <w:b w:val="0"/>
          <w:sz w:val="20"/>
        </w:rPr>
        <w:t>対象リポジトリのソースコード構造を解析し、テスト対象関数を選定する。選定基準は (a) 外部依存なし（純粋関数）、(b) 分岐構造が明確、(c) 既存テストが存在（比較用）の3点とした。LLMへの入力はリポジトリのディレクトリ構成とソースファイル一覧であり、出力は選定基準を満たす関数のリストである。</w:t>
      </w:r>
    </w:p>
    <w:p>
      <w:pPr>
        <w:spacing w:after="80" w:before="0" w:line="320" w:lineRule="exact"/>
      </w:pPr>
      <w:r>
        <w:rPr>
          <w:rFonts w:ascii="游明朝" w:hAnsi="游明朝"/>
          <w:b/>
          <w:sz w:val="20"/>
        </w:rPr>
        <w:t xml:space="preserve">Step 2. TRM生成（静的解析 + LLM推論）: </w:t>
      </w:r>
      <w:r>
        <w:rPr>
          <w:rFonts w:ascii="游明朝" w:hAnsi="游明朝"/>
          <w:b w:val="0"/>
          <w:sz w:val="20"/>
        </w:rPr>
        <w:t>選定した各関数のソースコードから分岐条件を抽出し、以下の5種別でテスト要求を定義する（表1）。LLMへの入力は対象関数のソースコード全文（平均48行）とTRM生成プロンプト（5種別の定義と出力スキーマを含む）であり、出力はYAML形式のTRM（平均12.4件/関数）である。</w:t>
      </w:r>
    </w:p>
    <w:p>
      <w:pPr>
        <w:spacing w:after="40" w:before="0" w:line="320" w:lineRule="exact"/>
        <w:jc w:val="center"/>
      </w:pPr>
      <w:r>
        <w:rPr>
          <w:rFonts w:ascii="游明朝" w:hAnsi="游明朝"/>
          <w:b/>
          <w:i w:val="0"/>
          <w:sz w:val="18"/>
        </w:rPr>
        <w:t>表1: TRM種別定義</w:t>
      </w:r>
    </w:p>
    <w:tbl>
      <w:tblPr>
        <w:tblStyle w:val="TableGrid"/>
        <w:tblW w:type="auto" w:w="0"/>
        <w:jc w:val="center"/>
        <w:tblLook w:firstColumn="1" w:firstRow="1" w:lastColumn="0" w:lastRow="0" w:noHBand="0" w:noVBand="1" w:val="04A0"/>
      </w:tblPr>
      <w:tblGrid>
        <w:gridCol w:w="3024"/>
        <w:gridCol w:w="3024"/>
        <w:gridCol w:w="3024"/>
      </w:tblGrid>
      <w:tr>
        <w:tc>
          <w:tcPr>
            <w:tcW w:type="dxa" w:w="1417"/>
          </w:tcPr>
          <w:p>
            <w:pPr>
              <w:jc w:val="center"/>
            </w:pPr>
            <w:r>
              <w:rPr>
                <w:rFonts w:ascii="游明朝" w:hAnsi="游明朝"/>
                <w:b/>
                <w:sz w:val="18"/>
              </w:rPr>
              <w:t>種別</w:t>
            </w:r>
          </w:p>
        </w:tc>
        <w:tc>
          <w:tcPr>
            <w:tcW w:type="dxa" w:w="850"/>
          </w:tcPr>
          <w:p>
            <w:pPr>
              <w:jc w:val="center"/>
            </w:pPr>
            <w:r>
              <w:rPr>
                <w:rFonts w:ascii="游明朝" w:hAnsi="游明朝"/>
                <w:b/>
                <w:sz w:val="18"/>
              </w:rPr>
              <w:t>記号</w:t>
            </w:r>
          </w:p>
        </w:tc>
        <w:tc>
          <w:tcPr>
            <w:tcW w:type="dxa" w:w="4535"/>
          </w:tcPr>
          <w:p>
            <w:pPr>
              <w:jc w:val="center"/>
            </w:pPr>
            <w:r>
              <w:rPr>
                <w:rFonts w:ascii="游明朝" w:hAnsi="游明朝"/>
                <w:b/>
                <w:sz w:val="18"/>
              </w:rPr>
              <w:t>定義</w:t>
            </w:r>
          </w:p>
        </w:tc>
      </w:tr>
      <w:tr>
        <w:tc>
          <w:tcPr>
            <w:tcW w:type="dxa" w:w="1417"/>
          </w:tcPr>
          <w:p>
            <w:r>
              <w:rPr>
                <w:rFonts w:ascii="游明朝" w:hAnsi="游明朝"/>
                <w:sz w:val="18"/>
              </w:rPr>
              <w:t>分岐網羅</w:t>
            </w:r>
          </w:p>
        </w:tc>
        <w:tc>
          <w:tcPr>
            <w:tcW w:type="dxa" w:w="850"/>
          </w:tcPr>
          <w:p>
            <w:r>
              <w:rPr>
                <w:rFonts w:ascii="游明朝" w:hAnsi="游明朝"/>
                <w:sz w:val="18"/>
              </w:rPr>
              <w:t>BR</w:t>
            </w:r>
          </w:p>
        </w:tc>
        <w:tc>
          <w:tcPr>
            <w:tcW w:type="dxa" w:w="4535"/>
          </w:tcPr>
          <w:p>
            <w:r>
              <w:rPr>
                <w:rFonts w:ascii="游明朝" w:hAnsi="游明朝"/>
                <w:sz w:val="18"/>
              </w:rPr>
              <w:t>if/else/switchの各パスを検証</w:t>
            </w:r>
          </w:p>
        </w:tc>
      </w:tr>
      <w:tr>
        <w:tc>
          <w:tcPr>
            <w:tcW w:type="dxa" w:w="1417"/>
          </w:tcPr>
          <w:p>
            <w:r>
              <w:rPr>
                <w:rFonts w:ascii="游明朝" w:hAnsi="游明朝"/>
                <w:sz w:val="18"/>
              </w:rPr>
              <w:t>同値クラス</w:t>
            </w:r>
          </w:p>
        </w:tc>
        <w:tc>
          <w:tcPr>
            <w:tcW w:type="dxa" w:w="850"/>
          </w:tcPr>
          <w:p>
            <w:r>
              <w:rPr>
                <w:rFonts w:ascii="游明朝" w:hAnsi="游明朝"/>
                <w:sz w:val="18"/>
              </w:rPr>
              <w:t>EC</w:t>
            </w:r>
          </w:p>
        </w:tc>
        <w:tc>
          <w:tcPr>
            <w:tcW w:type="dxa" w:w="4535"/>
          </w:tcPr>
          <w:p>
            <w:r>
              <w:rPr>
                <w:rFonts w:ascii="游明朝" w:hAnsi="游明朝"/>
                <w:sz w:val="18"/>
              </w:rPr>
              <w:t>入力パラメータの同値分割を検証</w:t>
            </w:r>
          </w:p>
        </w:tc>
      </w:tr>
      <w:tr>
        <w:tc>
          <w:tcPr>
            <w:tcW w:type="dxa" w:w="1417"/>
          </w:tcPr>
          <w:p>
            <w:r>
              <w:rPr>
                <w:rFonts w:ascii="游明朝" w:hAnsi="游明朝"/>
                <w:sz w:val="18"/>
              </w:rPr>
              <w:t>境界値</w:t>
            </w:r>
          </w:p>
        </w:tc>
        <w:tc>
          <w:tcPr>
            <w:tcW w:type="dxa" w:w="850"/>
          </w:tcPr>
          <w:p>
            <w:r>
              <w:rPr>
                <w:rFonts w:ascii="游明朝" w:hAnsi="游明朝"/>
                <w:sz w:val="18"/>
              </w:rPr>
              <w:t>BV</w:t>
            </w:r>
          </w:p>
        </w:tc>
        <w:tc>
          <w:tcPr>
            <w:tcW w:type="dxa" w:w="4535"/>
          </w:tcPr>
          <w:p>
            <w:r>
              <w:rPr>
                <w:rFonts w:ascii="游明朝" w:hAnsi="游明朝"/>
                <w:sz w:val="18"/>
              </w:rPr>
              <w:t>同値クラス境界の上下限を検証</w:t>
            </w:r>
          </w:p>
        </w:tc>
      </w:tr>
      <w:tr>
        <w:tc>
          <w:tcPr>
            <w:tcW w:type="dxa" w:w="1417"/>
          </w:tcPr>
          <w:p>
            <w:r>
              <w:rPr>
                <w:rFonts w:ascii="游明朝" w:hAnsi="游明朝"/>
                <w:sz w:val="18"/>
              </w:rPr>
              <w:t>エラーパス</w:t>
            </w:r>
          </w:p>
        </w:tc>
        <w:tc>
          <w:tcPr>
            <w:tcW w:type="dxa" w:w="850"/>
          </w:tcPr>
          <w:p>
            <w:r>
              <w:rPr>
                <w:rFonts w:ascii="游明朝" w:hAnsi="游明朝"/>
                <w:sz w:val="18"/>
              </w:rPr>
              <w:t>ER</w:t>
            </w:r>
          </w:p>
        </w:tc>
        <w:tc>
          <w:tcPr>
            <w:tcW w:type="dxa" w:w="4535"/>
          </w:tcPr>
          <w:p>
            <w:r>
              <w:rPr>
                <w:rFonts w:ascii="游明朝" w:hAnsi="游明朝"/>
                <w:sz w:val="18"/>
              </w:rPr>
              <w:t>異常系・エラー処理を検証</w:t>
            </w:r>
          </w:p>
        </w:tc>
      </w:tr>
      <w:tr>
        <w:tc>
          <w:tcPr>
            <w:tcW w:type="dxa" w:w="1417"/>
          </w:tcPr>
          <w:p>
            <w:r>
              <w:rPr>
                <w:rFonts w:ascii="游明朝" w:hAnsi="游明朝"/>
                <w:sz w:val="18"/>
              </w:rPr>
              <w:t>依存切替</w:t>
            </w:r>
          </w:p>
        </w:tc>
        <w:tc>
          <w:tcPr>
            <w:tcW w:type="dxa" w:w="850"/>
          </w:tcPr>
          <w:p>
            <w:r>
              <w:rPr>
                <w:rFonts w:ascii="游明朝" w:hAnsi="游明朝"/>
                <w:sz w:val="18"/>
              </w:rPr>
              <w:t>DP</w:t>
            </w:r>
          </w:p>
        </w:tc>
        <w:tc>
          <w:tcPr>
            <w:tcW w:type="dxa" w:w="4535"/>
          </w:tcPr>
          <w:p>
            <w:r>
              <w:rPr>
                <w:rFonts w:ascii="游明朝" w:hAnsi="游明朝"/>
                <w:sz w:val="18"/>
              </w:rPr>
              <w:t>関数間の依存関係・差異を検証</w:t>
            </w:r>
          </w:p>
        </w:tc>
      </w:tr>
    </w:tbl>
    <w:p/>
    <w:p>
      <w:pPr>
        <w:spacing w:after="80" w:before="0" w:line="320" w:lineRule="exact"/>
      </w:pPr>
      <w:r>
        <w:rPr>
          <w:rFonts w:ascii="游明朝" w:hAnsi="游明朝"/>
          <w:b w:val="0"/>
          <w:i w:val="0"/>
          <w:sz w:val="20"/>
        </w:rPr>
        <w:t>各要求には一意のID、自然言語の説明、優先度、根拠となるソースコード行番号を付与し、YAML形式で出力する。以下はParseVersion関数に対するTRMの抜粋である。</w:t>
      </w:r>
    </w:p>
    <w:p>
      <w:pPr>
        <w:spacing w:after="80" w:before="40" w:line="260" w:lineRule="exact"/>
        <w:ind w:left="454"/>
      </w:pPr>
      <w:r>
        <w:rPr>
          <w:rFonts w:ascii="Consolas" w:hAnsi="Consolas"/>
          <w:sz w:val="17"/>
        </w:rPr>
        <w:t>- id: "BR-11"</w:t>
        <w:br/>
        <w:t xml:space="preserve">  type: branch_coverage</w:t>
        <w:br/>
        <w:t xml:space="preserve">  description: "alpha修飾子の分岐を通過する"</w:t>
        <w:br/>
        <w:t xml:space="preserve">  priority: high</w:t>
        <w:br/>
        <w:t xml:space="preserve">  source_ref: "BC-02-10: *p == 'a' &amp;&amp; strncmp == 'alpha'"</w:t>
        <w:br/>
        <w:t xml:space="preserve">  expected_behavior: "nShift = -0x60 を設定"</w:t>
        <w:br/>
        <w:br/>
        <w:t>- id: "ER-01"</w:t>
        <w:br/>
        <w:t xml:space="preserve">  type: error_path</w:t>
        <w:br/>
        <w:t xml:space="preserve">  description: "空文字列入力時にクラッシュしないことを検証する"</w:t>
        <w:br/>
        <w:t xml:space="preserve">  priority: high</w:t>
        <w:br/>
        <w:t xml:space="preserve">  source_ref: "関数先頭のポインタ参照"</w:t>
        <w:br/>
        <w:t xml:space="preserve">  expected_behavior: "デフォルト値 0x80808080 を返却"</w:t>
      </w:r>
    </w:p>
    <w:p>
      <w:pPr>
        <w:spacing w:after="80" w:before="0" w:line="320" w:lineRule="exact"/>
      </w:pPr>
      <w:r>
        <w:rPr>
          <w:rFonts w:ascii="游明朝" w:hAnsi="游明朝"/>
          <w:b/>
          <w:sz w:val="20"/>
        </w:rPr>
        <w:t xml:space="preserve">Step 3. テストコード生成（LLM）: </w:t>
      </w:r>
      <w:r>
        <w:rPr>
          <w:rFonts w:ascii="游明朝" w:hAnsi="游明朝"/>
          <w:b w:val="0"/>
          <w:sz w:val="20"/>
        </w:rPr>
        <w:t>TRMのYAML全体と対象ソースコードをLLMに入力し、Google Test準拠のC++テストコードを出力させる。各テストケースにはTRMのIDをコメントで記載し、要求からテストへの追跡性を確保する。</w:t>
      </w:r>
    </w:p>
    <w:p>
      <w:pPr>
        <w:spacing w:after="80" w:before="40" w:line="260" w:lineRule="exact"/>
        <w:ind w:left="454"/>
      </w:pPr>
      <w:r>
        <w:rPr>
          <w:rFonts w:ascii="Consolas" w:hAnsi="Consolas"/>
          <w:sz w:val="17"/>
        </w:rPr>
        <w:t>TEST(ParseVersion, AlphaModifier) {</w:t>
        <w:br/>
        <w:t xml:space="preserve">    // BR-11: alpha修飾子の分岐を通過する</w:t>
        <w:br/>
        <w:t xml:space="preserve">    UINT32 val = ParseVersion(L"2.4.1alpha");</w:t>
        <w:br/>
        <w:t xml:space="preserve">    EXPECT_EQ(val, static_cast&lt;UINT32&gt;(0x82848120));</w:t>
        <w:br/>
        <w:t>}</w:t>
      </w:r>
    </w:p>
    <w:p>
      <w:pPr>
        <w:spacing w:after="40"/>
        <w:jc w:val="center"/>
      </w:pPr>
      <w:r>
        <w:drawing>
          <wp:inline xmlns:a="http://schemas.openxmlformats.org/drawingml/2006/main" xmlns:pic="http://schemas.openxmlformats.org/drawingml/2006/picture">
            <wp:extent cx="5220000" cy="2141538"/>
            <wp:docPr id="1" name="Picture 1"/>
            <wp:cNvGraphicFramePr>
              <a:graphicFrameLocks noChangeAspect="1"/>
            </wp:cNvGraphicFramePr>
            <a:graphic>
              <a:graphicData uri="http://schemas.openxmlformats.org/drawingml/2006/picture">
                <pic:pic>
                  <pic:nvPicPr>
                    <pic:cNvPr id="0" name="fig1-overview.png"/>
                    <pic:cNvPicPr/>
                  </pic:nvPicPr>
                  <pic:blipFill>
                    <a:blip r:embed="rId9"/>
                    <a:stretch>
                      <a:fillRect/>
                    </a:stretch>
                  </pic:blipFill>
                  <pic:spPr>
                    <a:xfrm>
                      <a:off x="0" y="0"/>
                      <a:ext cx="5220000" cy="2141538"/>
                    </a:xfrm>
                    <a:prstGeom prst="rect"/>
                  </pic:spPr>
                </pic:pic>
              </a:graphicData>
            </a:graphic>
          </wp:inline>
        </w:drawing>
      </w:r>
    </w:p>
    <w:p>
      <w:pPr>
        <w:spacing w:after="120"/>
        <w:jc w:val="center"/>
      </w:pPr>
      <w:r>
        <w:rPr>
          <w:rFonts w:ascii="游明朝" w:hAnsi="游明朝"/>
          <w:i/>
          <w:sz w:val="18"/>
        </w:rPr>
        <w:t>図1: 提案手法の全体構成（3段階パイプライン）</w:t>
      </w:r>
    </w:p>
    <w:p>
      <w:pPr>
        <w:spacing w:before="160" w:after="40" w:line="320" w:lineRule="exact"/>
      </w:pPr>
      <w:r>
        <w:rPr>
          <w:rFonts w:ascii="游明朝" w:hAnsi="游明朝"/>
          <w:b/>
          <w:sz w:val="21"/>
        </w:rPr>
        <w:t>2.2 実験条件</w:t>
      </w:r>
    </w:p>
    <w:p>
      <w:pPr>
        <w:spacing w:after="40" w:before="0" w:line="320" w:lineRule="exact"/>
        <w:jc w:val="center"/>
      </w:pPr>
      <w:r>
        <w:rPr>
          <w:rFonts w:ascii="游明朝" w:hAnsi="游明朝"/>
          <w:b/>
          <w:i w:val="0"/>
          <w:sz w:val="18"/>
        </w:rPr>
        <w:t>表2: 実験条件と対象関数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Pr>
          <w:p>
            <w:pPr>
              <w:jc w:val="center"/>
            </w:pPr>
            <w:r>
              <w:rPr>
                <w:rFonts w:ascii="游明朝" w:hAnsi="游明朝"/>
                <w:b/>
                <w:sz w:val="17"/>
              </w:rPr>
              <w:t>領域</w:t>
            </w:r>
          </w:p>
        </w:tc>
        <w:tc>
          <w:tcPr>
            <w:tcW w:type="dxa" w:w="2268"/>
          </w:tcPr>
          <w:p>
            <w:pPr>
              <w:jc w:val="center"/>
            </w:pPr>
            <w:r>
              <w:rPr>
                <w:rFonts w:ascii="游明朝" w:hAnsi="游明朝"/>
                <w:b/>
                <w:sz w:val="17"/>
              </w:rPr>
              <w:t>対象関数</w:t>
            </w:r>
          </w:p>
        </w:tc>
        <w:tc>
          <w:tcPr>
            <w:tcW w:type="dxa" w:w="1134"/>
          </w:tcPr>
          <w:p>
            <w:pPr>
              <w:jc w:val="center"/>
            </w:pPr>
            <w:r>
              <w:rPr>
                <w:rFonts w:ascii="游明朝" w:hAnsi="游明朝"/>
                <w:b/>
                <w:sz w:val="17"/>
              </w:rPr>
              <w:t>コード行数</w:t>
            </w:r>
          </w:p>
        </w:tc>
        <w:tc>
          <w:tcPr>
            <w:tcW w:type="dxa" w:w="1134"/>
          </w:tcPr>
          <w:p>
            <w:pPr>
              <w:jc w:val="center"/>
            </w:pPr>
            <w:r>
              <w:rPr>
                <w:rFonts w:ascii="游明朝" w:hAnsi="游明朝"/>
                <w:b/>
                <w:sz w:val="17"/>
              </w:rPr>
              <w:t>既存テスト数</w:t>
            </w:r>
          </w:p>
        </w:tc>
      </w:tr>
      <w:tr>
        <w:tc>
          <w:tcPr>
            <w:tcW w:type="dxa" w:w="1984"/>
          </w:tcPr>
          <w:p>
            <w:r>
              <w:rPr>
                <w:rFonts w:ascii="游明朝" w:hAnsi="游明朝"/>
                <w:sz w:val="17"/>
              </w:rPr>
              <w:t>日時書式・バージョン解析</w:t>
              <w:br/>
              <w:t>(format.cpp)</w:t>
            </w:r>
          </w:p>
        </w:tc>
        <w:tc>
          <w:tcPr>
            <w:tcW w:type="dxa" w:w="2268"/>
          </w:tcPr>
          <w:p>
            <w:r>
              <w:rPr>
                <w:rFonts w:ascii="游明朝" w:hAnsi="游明朝"/>
                <w:sz w:val="17"/>
              </w:rPr>
              <w:t>GetDateTimeFormat,</w:t>
              <w:br/>
              <w:t>ParseVersion,</w:t>
              <w:br/>
              <w:t>CompareVersion</w:t>
            </w:r>
          </w:p>
        </w:tc>
        <w:tc>
          <w:tcPr>
            <w:tcW w:type="dxa" w:w="1134"/>
          </w:tcPr>
          <w:p>
            <w:r>
              <w:rPr>
                <w:rFonts w:ascii="游明朝" w:hAnsi="游明朝"/>
                <w:sz w:val="17"/>
              </w:rPr>
              <w:t>約115行</w:t>
            </w:r>
          </w:p>
        </w:tc>
        <w:tc>
          <w:tcPr>
            <w:tcW w:type="dxa" w:w="1134"/>
          </w:tcPr>
          <w:p>
            <w:r>
              <w:rPr>
                <w:rFonts w:ascii="游明朝" w:hAnsi="游明朝"/>
                <w:sz w:val="17"/>
              </w:rPr>
              <w:t>約20件</w:t>
            </w:r>
          </w:p>
        </w:tc>
      </w:tr>
      <w:tr>
        <w:tc>
          <w:tcPr>
            <w:tcW w:type="dxa" w:w="1984"/>
          </w:tcPr>
          <w:p>
            <w:r>
              <w:rPr>
                <w:rFonts w:ascii="游明朝" w:hAnsi="游明朝"/>
                <w:sz w:val="17"/>
              </w:rPr>
              <w:t>メールアドレス・文字種判定</w:t>
              <w:br/>
              <w:t>(CWordParse.cpp)</w:t>
            </w:r>
          </w:p>
        </w:tc>
        <w:tc>
          <w:tcPr>
            <w:tcW w:type="dxa" w:w="2268"/>
          </w:tcPr>
          <w:p>
            <w:r>
              <w:rPr>
                <w:rFonts w:ascii="游明朝" w:hAnsi="游明朝"/>
                <w:sz w:val="17"/>
              </w:rPr>
              <w:t>IsMailAddress,</w:t>
              <w:br/>
              <w:t>WhatKindOfTwoChars,</w:t>
              <w:br/>
              <w:t>WhatKindOfTwoChars4KW</w:t>
            </w:r>
          </w:p>
        </w:tc>
        <w:tc>
          <w:tcPr>
            <w:tcW w:type="dxa" w:w="1134"/>
          </w:tcPr>
          <w:p>
            <w:r>
              <w:rPr>
                <w:rFonts w:ascii="游明朝" w:hAnsi="游明朝"/>
                <w:sz w:val="17"/>
              </w:rPr>
              <w:t>約180行</w:t>
            </w:r>
          </w:p>
        </w:tc>
        <w:tc>
          <w:tcPr>
            <w:tcW w:type="dxa" w:w="1134"/>
          </w:tcPr>
          <w:p>
            <w:r>
              <w:rPr>
                <w:rFonts w:ascii="游明朝" w:hAnsi="游明朝"/>
                <w:sz w:val="17"/>
              </w:rPr>
              <w:t>約15件</w:t>
            </w:r>
          </w:p>
        </w:tc>
      </w:tr>
      <w:tr>
        <w:tc>
          <w:tcPr>
            <w:tcW w:type="dxa" w:w="1984"/>
          </w:tcPr>
          <w:p>
            <w:r>
              <w:rPr>
                <w:rFonts w:ascii="游明朝" w:hAnsi="游明朝"/>
                <w:sz w:val="17"/>
              </w:rPr>
              <w:t>全角半角英数変換</w:t>
              <w:br/>
              <w:t>(convert_util.cpp)</w:t>
            </w:r>
          </w:p>
        </w:tc>
        <w:tc>
          <w:tcPr>
            <w:tcW w:type="dxa" w:w="2268"/>
          </w:tcPr>
          <w:p>
            <w:r>
              <w:rPr>
                <w:rFonts w:ascii="游明朝" w:hAnsi="游明朝"/>
                <w:sz w:val="17"/>
              </w:rPr>
              <w:t>Convert_ZeneisuToHaneisu,</w:t>
              <w:br/>
              <w:t>Convert_HaneisuToZeneisu</w:t>
            </w:r>
          </w:p>
        </w:tc>
        <w:tc>
          <w:tcPr>
            <w:tcW w:type="dxa" w:w="1134"/>
          </w:tcPr>
          <w:p>
            <w:r>
              <w:rPr>
                <w:rFonts w:ascii="游明朝" w:hAnsi="游明朝"/>
                <w:sz w:val="17"/>
              </w:rPr>
              <w:t>約90行</w:t>
            </w:r>
          </w:p>
        </w:tc>
        <w:tc>
          <w:tcPr>
            <w:tcW w:type="dxa" w:w="1134"/>
          </w:tcPr>
          <w:p>
            <w:r>
              <w:rPr>
                <w:rFonts w:ascii="游明朝" w:hAnsi="游明朝"/>
                <w:sz w:val="17"/>
              </w:rPr>
              <w:t>約10件</w:t>
            </w:r>
          </w:p>
        </w:tc>
      </w:tr>
      <w:tr>
        <w:tc>
          <w:tcPr>
            <w:tcW w:type="dxa" w:w="1984"/>
          </w:tcPr>
          <w:p>
            <w:r>
              <w:rPr>
                <w:rFonts w:ascii="游明朝" w:hAnsi="游明朝"/>
                <w:sz w:val="17"/>
              </w:rPr>
              <w:t>合計</w:t>
            </w:r>
          </w:p>
        </w:tc>
        <w:tc>
          <w:tcPr>
            <w:tcW w:type="dxa" w:w="2268"/>
          </w:tcPr>
          <w:p>
            <w:r>
              <w:rPr>
                <w:rFonts w:ascii="游明朝" w:hAnsi="游明朝"/>
                <w:sz w:val="17"/>
              </w:rPr>
              <w:t>8関数</w:t>
            </w:r>
          </w:p>
        </w:tc>
        <w:tc>
          <w:tcPr>
            <w:tcW w:type="dxa" w:w="1134"/>
          </w:tcPr>
          <w:p>
            <w:r>
              <w:rPr>
                <w:rFonts w:ascii="游明朝" w:hAnsi="游明朝"/>
                <w:sz w:val="17"/>
              </w:rPr>
              <w:t>約385行</w:t>
            </w:r>
          </w:p>
        </w:tc>
        <w:tc>
          <w:tcPr>
            <w:tcW w:type="dxa" w:w="1134"/>
          </w:tcPr>
          <w:p>
            <w:r>
              <w:rPr>
                <w:rFonts w:ascii="游明朝" w:hAnsi="游明朝"/>
                <w:sz w:val="17"/>
              </w:rPr>
              <w:t>約45件</w:t>
            </w:r>
          </w:p>
        </w:tc>
      </w:tr>
    </w:tbl>
    <w:p/>
    <w:p>
      <w:pPr>
        <w:spacing w:after="80" w:before="0" w:line="320" w:lineRule="exact"/>
      </w:pPr>
      <w:r>
        <w:rPr>
          <w:rFonts w:ascii="游明朝" w:hAnsi="游明朝"/>
          <w:b w:val="0"/>
          <w:i w:val="0"/>
          <w:sz w:val="20"/>
        </w:rPr>
        <w:t>対象プロジェクト: sakura-editor/sakura（C++、OSSテキストエディタ、Google Test整備済み）</w:t>
      </w:r>
    </w:p>
    <w:p>
      <w:pPr>
        <w:spacing w:after="80" w:before="0" w:line="320" w:lineRule="exact"/>
      </w:pPr>
      <w:r>
        <w:rPr>
          <w:rFonts w:ascii="游明朝" w:hAnsi="游明朝"/>
          <w:b w:val="0"/>
          <w:i w:val="0"/>
          <w:sz w:val="20"/>
        </w:rPr>
        <w:t>実行環境: macOS (Apple clang 16.0) + Google Test 1.17 + Windows互換ヘッダ（純粋関数のため型定義の互換レイヤーのみで移植）</w:t>
      </w:r>
    </w:p>
    <w:p>
      <w:pPr>
        <w:spacing w:after="80" w:before="0" w:line="320" w:lineRule="exact"/>
      </w:pPr>
      <w:r>
        <w:rPr>
          <w:rFonts w:ascii="游明朝" w:hAnsi="游明朝"/>
          <w:b w:val="0"/>
          <w:i w:val="0"/>
          <w:sz w:val="20"/>
        </w:rPr>
        <w:t>使用モデル: 大規模言語モデル（匿名査読のためモデル名は伏せる）</w:t>
      </w:r>
    </w:p>
    <w:p>
      <w:pPr>
        <w:spacing w:after="80" w:before="0" w:line="320" w:lineRule="exact"/>
      </w:pPr>
      <w:r>
        <w:rPr>
          <w:rFonts w:ascii="游明朝" w:hAnsi="游明朝"/>
          <w:b w:val="0"/>
          <w:i w:val="0"/>
          <w:sz w:val="20"/>
        </w:rPr>
        <w:t>比較対象: (A) 既存の手動テスト（約45件）、(C) 提案手法によるTRM + 生成テスト</w:t>
      </w:r>
    </w:p>
    <w:p>
      <w:pPr>
        <w:pStyle w:val="Heading2"/>
        <w:spacing w:before="200" w:after="80"/>
      </w:pPr>
      <w:r>
        <w:rPr>
          <w:rFonts w:ascii="游明朝" w:hAnsi="游明朝"/>
          <w:color w:val="000000"/>
          <w:sz w:val="26"/>
        </w:rPr>
        <w:t>3. 実施結果</w:t>
      </w:r>
    </w:p>
    <w:p>
      <w:pPr>
        <w:spacing w:before="160" w:after="40" w:line="320" w:lineRule="exact"/>
      </w:pPr>
      <w:r>
        <w:rPr>
          <w:rFonts w:ascii="游明朝" w:hAnsi="游明朝"/>
          <w:b/>
          <w:sz w:val="21"/>
        </w:rPr>
        <w:t>3.1 TRM生成結果（P1: テスト設計根拠の明示に対応）</w:t>
      </w:r>
    </w:p>
    <w:p>
      <w:pPr>
        <w:spacing w:after="80" w:before="0" w:line="320" w:lineRule="exact"/>
      </w:pPr>
      <w:r>
        <w:rPr>
          <w:rFonts w:ascii="游明朝" w:hAnsi="游明朝"/>
          <w:b w:val="0"/>
          <w:i w:val="0"/>
          <w:sz w:val="20"/>
        </w:rPr>
        <w:t>8関数に対し計99件のテスト要求を定義した。種別ごとの内訳を表3に示す（図2）。</w:t>
      </w:r>
    </w:p>
    <w:p>
      <w:pPr>
        <w:spacing w:after="40" w:before="0" w:line="320" w:lineRule="exact"/>
        <w:jc w:val="center"/>
      </w:pPr>
      <w:r>
        <w:rPr>
          <w:rFonts w:ascii="游明朝" w:hAnsi="游明朝"/>
          <w:b/>
          <w:i w:val="0"/>
          <w:sz w:val="18"/>
        </w:rPr>
        <w:t>表3: TRM種別別内訳</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Pr>
          <w:p>
            <w:pPr>
              <w:jc w:val="center"/>
            </w:pPr>
            <w:r>
              <w:rPr>
                <w:rFonts w:ascii="游明朝" w:hAnsi="游明朝"/>
                <w:b/>
                <w:sz w:val="18"/>
              </w:rPr>
              <w:t>種別</w:t>
            </w:r>
          </w:p>
        </w:tc>
        <w:tc>
          <w:tcPr>
            <w:tcW w:type="dxa" w:w="850"/>
          </w:tcPr>
          <w:p>
            <w:pPr>
              <w:jc w:val="center"/>
            </w:pPr>
            <w:r>
              <w:rPr>
                <w:rFonts w:ascii="游明朝" w:hAnsi="游明朝"/>
                <w:b/>
                <w:sz w:val="18"/>
              </w:rPr>
              <w:t>件数</w:t>
            </w:r>
          </w:p>
        </w:tc>
        <w:tc>
          <w:tcPr>
            <w:tcW w:type="dxa" w:w="850"/>
          </w:tcPr>
          <w:p>
            <w:pPr>
              <w:jc w:val="center"/>
            </w:pPr>
            <w:r>
              <w:rPr>
                <w:rFonts w:ascii="游明朝" w:hAnsi="游明朝"/>
                <w:b/>
                <w:sz w:val="18"/>
              </w:rPr>
              <w:t>割合</w:t>
            </w:r>
          </w:p>
        </w:tc>
        <w:tc>
          <w:tcPr>
            <w:tcW w:type="dxa" w:w="1984"/>
          </w:tcPr>
          <w:p>
            <w:pPr>
              <w:jc w:val="center"/>
            </w:pPr>
            <w:r>
              <w:rPr>
                <w:rFonts w:ascii="游明朝" w:hAnsi="游明朝"/>
                <w:b/>
                <w:sz w:val="18"/>
              </w:rPr>
              <w:t>要求あたりのコード行数</w:t>
            </w:r>
          </w:p>
        </w:tc>
      </w:tr>
      <w:tr>
        <w:tc>
          <w:tcPr>
            <w:tcW w:type="dxa" w:w="1984"/>
          </w:tcPr>
          <w:p>
            <w:r>
              <w:rPr>
                <w:rFonts w:ascii="游明朝" w:hAnsi="游明朝"/>
                <w:sz w:val="18"/>
              </w:rPr>
              <w:t>BR（分岐網羅）</w:t>
            </w:r>
          </w:p>
        </w:tc>
        <w:tc>
          <w:tcPr>
            <w:tcW w:type="dxa" w:w="850"/>
          </w:tcPr>
          <w:p>
            <w:r>
              <w:rPr>
                <w:rFonts w:ascii="游明朝" w:hAnsi="游明朝"/>
                <w:sz w:val="18"/>
              </w:rPr>
              <w:t>55</w:t>
            </w:r>
          </w:p>
        </w:tc>
        <w:tc>
          <w:tcPr>
            <w:tcW w:type="dxa" w:w="850"/>
          </w:tcPr>
          <w:p>
            <w:r>
              <w:rPr>
                <w:rFonts w:ascii="游明朝" w:hAnsi="游明朝"/>
                <w:sz w:val="18"/>
              </w:rPr>
              <w:t>55.6%</w:t>
            </w:r>
          </w:p>
        </w:tc>
        <w:tc>
          <w:tcPr>
            <w:tcW w:type="dxa" w:w="1984"/>
          </w:tcPr>
          <w:p>
            <w:r>
              <w:rPr>
                <w:rFonts w:ascii="游明朝" w:hAnsi="游明朝"/>
                <w:sz w:val="18"/>
              </w:rPr>
              <w:t>7.0行/要求</w:t>
            </w:r>
          </w:p>
        </w:tc>
      </w:tr>
      <w:tr>
        <w:tc>
          <w:tcPr>
            <w:tcW w:type="dxa" w:w="1984"/>
          </w:tcPr>
          <w:p>
            <w:r>
              <w:rPr>
                <w:rFonts w:ascii="游明朝" w:hAnsi="游明朝"/>
                <w:sz w:val="18"/>
              </w:rPr>
              <w:t>EC（同値クラス）</w:t>
            </w:r>
          </w:p>
        </w:tc>
        <w:tc>
          <w:tcPr>
            <w:tcW w:type="dxa" w:w="850"/>
          </w:tcPr>
          <w:p>
            <w:r>
              <w:rPr>
                <w:rFonts w:ascii="游明朝" w:hAnsi="游明朝"/>
                <w:sz w:val="18"/>
              </w:rPr>
              <w:t>27</w:t>
            </w:r>
          </w:p>
        </w:tc>
        <w:tc>
          <w:tcPr>
            <w:tcW w:type="dxa" w:w="850"/>
          </w:tcPr>
          <w:p>
            <w:r>
              <w:rPr>
                <w:rFonts w:ascii="游明朝" w:hAnsi="游明朝"/>
                <w:sz w:val="18"/>
              </w:rPr>
              <w:t>27.3%</w:t>
            </w:r>
          </w:p>
        </w:tc>
        <w:tc>
          <w:tcPr>
            <w:tcW w:type="dxa" w:w="1984"/>
          </w:tcPr>
          <w:p>
            <w:r>
              <w:rPr>
                <w:rFonts w:ascii="游明朝" w:hAnsi="游明朝"/>
                <w:sz w:val="18"/>
              </w:rPr>
              <w:t>14.3行/要求</w:t>
            </w:r>
          </w:p>
        </w:tc>
      </w:tr>
      <w:tr>
        <w:tc>
          <w:tcPr>
            <w:tcW w:type="dxa" w:w="1984"/>
          </w:tcPr>
          <w:p>
            <w:r>
              <w:rPr>
                <w:rFonts w:ascii="游明朝" w:hAnsi="游明朝"/>
                <w:sz w:val="18"/>
              </w:rPr>
              <w:t>BV（境界値）</w:t>
            </w:r>
          </w:p>
        </w:tc>
        <w:tc>
          <w:tcPr>
            <w:tcW w:type="dxa" w:w="850"/>
          </w:tcPr>
          <w:p>
            <w:r>
              <w:rPr>
                <w:rFonts w:ascii="游明朝" w:hAnsi="游明朝"/>
                <w:sz w:val="18"/>
              </w:rPr>
              <w:t>11</w:t>
            </w:r>
          </w:p>
        </w:tc>
        <w:tc>
          <w:tcPr>
            <w:tcW w:type="dxa" w:w="850"/>
          </w:tcPr>
          <w:p>
            <w:r>
              <w:rPr>
                <w:rFonts w:ascii="游明朝" w:hAnsi="游明朝"/>
                <w:sz w:val="18"/>
              </w:rPr>
              <w:t>11.1%</w:t>
            </w:r>
          </w:p>
        </w:tc>
        <w:tc>
          <w:tcPr>
            <w:tcW w:type="dxa" w:w="1984"/>
          </w:tcPr>
          <w:p>
            <w:r>
              <w:rPr>
                <w:rFonts w:ascii="游明朝" w:hAnsi="游明朝"/>
                <w:sz w:val="18"/>
              </w:rPr>
              <w:t>35.0行/要求</w:t>
            </w:r>
          </w:p>
        </w:tc>
      </w:tr>
      <w:tr>
        <w:tc>
          <w:tcPr>
            <w:tcW w:type="dxa" w:w="1984"/>
          </w:tcPr>
          <w:p>
            <w:r>
              <w:rPr>
                <w:rFonts w:ascii="游明朝" w:hAnsi="游明朝"/>
                <w:sz w:val="18"/>
              </w:rPr>
              <w:t>ER（エラーパス）</w:t>
            </w:r>
          </w:p>
        </w:tc>
        <w:tc>
          <w:tcPr>
            <w:tcW w:type="dxa" w:w="850"/>
          </w:tcPr>
          <w:p>
            <w:r>
              <w:rPr>
                <w:rFonts w:ascii="游明朝" w:hAnsi="游明朝"/>
                <w:sz w:val="18"/>
              </w:rPr>
              <w:t>3</w:t>
            </w:r>
          </w:p>
        </w:tc>
        <w:tc>
          <w:tcPr>
            <w:tcW w:type="dxa" w:w="850"/>
          </w:tcPr>
          <w:p>
            <w:r>
              <w:rPr>
                <w:rFonts w:ascii="游明朝" w:hAnsi="游明朝"/>
                <w:sz w:val="18"/>
              </w:rPr>
              <w:t>3.0%</w:t>
            </w:r>
          </w:p>
        </w:tc>
        <w:tc>
          <w:tcPr>
            <w:tcW w:type="dxa" w:w="1984"/>
          </w:tcPr>
          <w:p>
            <w:r>
              <w:rPr>
                <w:rFonts w:ascii="游明朝" w:hAnsi="游明朝"/>
                <w:sz w:val="18"/>
              </w:rPr>
              <w:t>128.3行/要求</w:t>
            </w:r>
          </w:p>
        </w:tc>
      </w:tr>
      <w:tr>
        <w:tc>
          <w:tcPr>
            <w:tcW w:type="dxa" w:w="1984"/>
          </w:tcPr>
          <w:p>
            <w:r>
              <w:rPr>
                <w:rFonts w:ascii="游明朝" w:hAnsi="游明朝"/>
                <w:sz w:val="18"/>
              </w:rPr>
              <w:t>DP（依存切替）</w:t>
            </w:r>
          </w:p>
        </w:tc>
        <w:tc>
          <w:tcPr>
            <w:tcW w:type="dxa" w:w="850"/>
          </w:tcPr>
          <w:p>
            <w:r>
              <w:rPr>
                <w:rFonts w:ascii="游明朝" w:hAnsi="游明朝"/>
                <w:sz w:val="18"/>
              </w:rPr>
              <w:t>3</w:t>
            </w:r>
          </w:p>
        </w:tc>
        <w:tc>
          <w:tcPr>
            <w:tcW w:type="dxa" w:w="850"/>
          </w:tcPr>
          <w:p>
            <w:r>
              <w:rPr>
                <w:rFonts w:ascii="游明朝" w:hAnsi="游明朝"/>
                <w:sz w:val="18"/>
              </w:rPr>
              <w:t>3.0%</w:t>
            </w:r>
          </w:p>
        </w:tc>
        <w:tc>
          <w:tcPr>
            <w:tcW w:type="dxa" w:w="1984"/>
          </w:tcPr>
          <w:p>
            <w:r>
              <w:rPr>
                <w:rFonts w:ascii="游明朝" w:hAnsi="游明朝"/>
                <w:sz w:val="18"/>
              </w:rPr>
              <w:t>128.3行/要求</w:t>
            </w:r>
          </w:p>
        </w:tc>
      </w:tr>
      <w:tr>
        <w:tc>
          <w:tcPr>
            <w:tcW w:type="dxa" w:w="1984"/>
          </w:tcPr>
          <w:p>
            <w:r>
              <w:rPr>
                <w:rFonts w:ascii="游明朝" w:hAnsi="游明朝"/>
                <w:sz w:val="18"/>
              </w:rPr>
              <w:t>合計</w:t>
            </w:r>
          </w:p>
        </w:tc>
        <w:tc>
          <w:tcPr>
            <w:tcW w:type="dxa" w:w="850"/>
          </w:tcPr>
          <w:p>
            <w:r>
              <w:rPr>
                <w:rFonts w:ascii="游明朝" w:hAnsi="游明朝"/>
                <w:sz w:val="18"/>
              </w:rPr>
              <w:t>99</w:t>
            </w:r>
          </w:p>
        </w:tc>
        <w:tc>
          <w:tcPr>
            <w:tcW w:type="dxa" w:w="850"/>
          </w:tcPr>
          <w:p>
            <w:r>
              <w:rPr>
                <w:rFonts w:ascii="游明朝" w:hAnsi="游明朝"/>
                <w:sz w:val="18"/>
              </w:rPr>
              <w:t>100%</w:t>
            </w:r>
          </w:p>
        </w:tc>
        <w:tc>
          <w:tcPr>
            <w:tcW w:type="dxa" w:w="1984"/>
          </w:tcPr>
          <w:p>
            <w:r>
              <w:rPr>
                <w:rFonts w:ascii="游明朝" w:hAnsi="游明朝"/>
                <w:sz w:val="18"/>
              </w:rPr>
              <w:t>3.9行/要求</w:t>
            </w:r>
          </w:p>
        </w:tc>
      </w:tr>
    </w:tbl>
    <w:p/>
    <w:p>
      <w:pPr>
        <w:spacing w:after="80" w:before="0" w:line="320" w:lineRule="exact"/>
      </w:pPr>
      <w:r>
        <w:rPr>
          <w:rFonts w:ascii="游明朝" w:hAnsi="游明朝"/>
          <w:b w:val="0"/>
          <w:i w:val="0"/>
          <w:sz w:val="20"/>
        </w:rPr>
        <w:t>BR要求が最多であるのは、ソースコードのif/else/switch分岐から直接導出されるためである。ER/DPが少ないのは対象が純粋関数であり、エラーハンドリングや関数間依存が限定的であることによる。領域別の圧縮率は format.cpp（2.5行/要求）、CWordParse.cpp（5.3行/要求）、convert_util.cpp（4.7行/要求）であり、分岐密度の高い関数ほどテスト要求密度が高く、TRMがコードの複雑度に比例した適切な粒度で品質要求を抽出していることを示す。</w:t>
      </w:r>
    </w:p>
    <w:p>
      <w:pPr>
        <w:spacing w:after="80" w:before="0" w:line="320" w:lineRule="exact"/>
      </w:pPr>
      <w:r>
        <w:rPr>
          <w:rFonts w:ascii="游明朝" w:hAnsi="游明朝"/>
          <w:b w:val="0"/>
          <w:i w:val="0"/>
          <w:sz w:val="20"/>
        </w:rPr>
        <w:t>99件のテスト要求のdescription（自然言語記述）を3段階（L1: コード知識不要、L2: ドメイン知識のみ必要、L3: コード知識が必要）で分類した結果、L1+L2が65件（65.7%）であった。すなわち、テスト要求の約2/3はコードを読めない人でも内容を理解できる。種別間ではEC（81.5%）とER（100%）の可読率が高く、入力パターンの分類やエラー処理はドメインレベルで自然に表現できる概念であることを示している。一方、DP（33.3%）は関数間の関係性を記述するためコード知識が必要になりやすい。領域間ではformat.cpp（78.3%）が最も高く、CWordParse.cpp（41.2%）が最も低い。可読率はドメインの一般性と相関する。</w:t>
      </w:r>
    </w:p>
    <w:p>
      <w:pPr>
        <w:spacing w:after="40"/>
        <w:jc w:val="center"/>
      </w:pPr>
      <w:r>
        <w:drawing>
          <wp:inline xmlns:a="http://schemas.openxmlformats.org/drawingml/2006/main" xmlns:pic="http://schemas.openxmlformats.org/drawingml/2006/picture">
            <wp:extent cx="3600000" cy="3039243"/>
            <wp:docPr id="2" name="Picture 2"/>
            <wp:cNvGraphicFramePr>
              <a:graphicFrameLocks noChangeAspect="1"/>
            </wp:cNvGraphicFramePr>
            <a:graphic>
              <a:graphicData uri="http://schemas.openxmlformats.org/drawingml/2006/picture">
                <pic:pic>
                  <pic:nvPicPr>
                    <pic:cNvPr id="0" name="fig2-requirements-breakdown.png"/>
                    <pic:cNvPicPr/>
                  </pic:nvPicPr>
                  <pic:blipFill>
                    <a:blip r:embed="rId10"/>
                    <a:stretch>
                      <a:fillRect/>
                    </a:stretch>
                  </pic:blipFill>
                  <pic:spPr>
                    <a:xfrm>
                      <a:off x="0" y="0"/>
                      <a:ext cx="3600000" cy="3039243"/>
                    </a:xfrm>
                    <a:prstGeom prst="rect"/>
                  </pic:spPr>
                </pic:pic>
              </a:graphicData>
            </a:graphic>
          </wp:inline>
        </w:drawing>
      </w:r>
    </w:p>
    <w:p>
      <w:pPr>
        <w:spacing w:after="120"/>
        <w:jc w:val="center"/>
      </w:pPr>
      <w:r>
        <w:rPr>
          <w:rFonts w:ascii="游明朝" w:hAnsi="游明朝"/>
          <w:i/>
          <w:sz w:val="18"/>
        </w:rPr>
        <w:t>図2: テスト要求の種別内訳（N=99）</w:t>
      </w:r>
    </w:p>
    <w:p>
      <w:pPr>
        <w:spacing w:before="160" w:after="40" w:line="320" w:lineRule="exact"/>
      </w:pPr>
      <w:r>
        <w:rPr>
          <w:rFonts w:ascii="游明朝" w:hAnsi="游明朝"/>
          <w:b/>
          <w:sz w:val="21"/>
        </w:rPr>
        <w:t>3.2 テスト生成結果（P1に対応）</w:t>
      </w:r>
    </w:p>
    <w:p>
      <w:pPr>
        <w:spacing w:after="80" w:before="0" w:line="320" w:lineRule="exact"/>
      </w:pPr>
      <w:r>
        <w:rPr>
          <w:rFonts w:ascii="游明朝" w:hAnsi="游明朝"/>
          <w:b w:val="0"/>
          <w:i w:val="0"/>
          <w:sz w:val="20"/>
        </w:rPr>
        <w:t>TRMを入力として計145件のGoogle Testテストコードを生成した。テスト要求99件に対するカバー率は100%（全要求に対応するテストケースが存在）であった。テストケース数が要求数を上回るのは、1つの境界値要求を上限・下限の別テストで検証する等のためである。既存の手動テスト約45件に対し約3.2倍のテストケースを生成した（図3）。</w:t>
      </w:r>
    </w:p>
    <w:p>
      <w:pPr>
        <w:spacing w:after="40"/>
        <w:jc w:val="center"/>
      </w:pPr>
      <w:r>
        <w:drawing>
          <wp:inline xmlns:a="http://schemas.openxmlformats.org/drawingml/2006/main" xmlns:pic="http://schemas.openxmlformats.org/drawingml/2006/picture">
            <wp:extent cx="4320000" cy="2681191"/>
            <wp:docPr id="3" name="Picture 3"/>
            <wp:cNvGraphicFramePr>
              <a:graphicFrameLocks noChangeAspect="1"/>
            </wp:cNvGraphicFramePr>
            <a:graphic>
              <a:graphicData uri="http://schemas.openxmlformats.org/drawingml/2006/picture">
                <pic:pic>
                  <pic:nvPicPr>
                    <pic:cNvPr id="0" name="fig3-test-comparison.png"/>
                    <pic:cNvPicPr/>
                  </pic:nvPicPr>
                  <pic:blipFill>
                    <a:blip r:embed="rId11"/>
                    <a:stretch>
                      <a:fillRect/>
                    </a:stretch>
                  </pic:blipFill>
                  <pic:spPr>
                    <a:xfrm>
                      <a:off x="0" y="0"/>
                      <a:ext cx="4320000" cy="2681191"/>
                    </a:xfrm>
                    <a:prstGeom prst="rect"/>
                  </pic:spPr>
                </pic:pic>
              </a:graphicData>
            </a:graphic>
          </wp:inline>
        </w:drawing>
      </w:r>
    </w:p>
    <w:p>
      <w:pPr>
        <w:spacing w:after="120"/>
        <w:jc w:val="center"/>
      </w:pPr>
      <w:r>
        <w:rPr>
          <w:rFonts w:ascii="游明朝" w:hAnsi="游明朝"/>
          <w:i/>
          <w:sz w:val="18"/>
        </w:rPr>
        <w:t>図3: 既存テストと生成テストの領域別比較</w:t>
      </w:r>
    </w:p>
    <w:p>
      <w:pPr>
        <w:spacing w:before="160" w:after="40" w:line="320" w:lineRule="exact"/>
      </w:pPr>
      <w:r>
        <w:rPr>
          <w:rFonts w:ascii="游明朝" w:hAnsi="游明朝"/>
          <w:b/>
          <w:sz w:val="21"/>
        </w:rPr>
        <w:t>3.3 コンパイル・実行結果</w:t>
      </w:r>
    </w:p>
    <w:p>
      <w:pPr>
        <w:spacing w:after="80" w:before="0" w:line="320" w:lineRule="exact"/>
      </w:pPr>
      <w:r>
        <w:rPr>
          <w:rFonts w:ascii="游明朝" w:hAnsi="游明朝"/>
          <w:b w:val="0"/>
          <w:i w:val="0"/>
          <w:sz w:val="20"/>
        </w:rPr>
        <w:t>全3ファイルのコンパイル成功後、テスト実行を行った結果を以下に示す（図4）。</w:t>
      </w:r>
    </w:p>
    <w:tbl>
      <w:tblPr>
        <w:tblStyle w:val="TableGrid"/>
        <w:tblW w:type="auto" w:w="0"/>
        <w:jc w:val="center"/>
        <w:tblLook w:firstColumn="1" w:firstRow="1" w:lastColumn="0" w:lastRow="0" w:noHBand="0" w:noVBand="1" w:val="04A0"/>
      </w:tblPr>
      <w:tblGrid>
        <w:gridCol w:w="4536"/>
        <w:gridCol w:w="4536"/>
      </w:tblGrid>
      <w:tr>
        <w:tc>
          <w:tcPr>
            <w:tcW w:type="dxa" w:w="2835"/>
          </w:tcPr>
          <w:p>
            <w:pPr>
              <w:jc w:val="center"/>
            </w:pPr>
            <w:r>
              <w:rPr>
                <w:rFonts w:ascii="游明朝" w:hAnsi="游明朝"/>
                <w:b/>
                <w:sz w:val="18"/>
              </w:rPr>
              <w:t>指標</w:t>
            </w:r>
          </w:p>
        </w:tc>
        <w:tc>
          <w:tcPr>
            <w:tcW w:type="dxa" w:w="2835"/>
          </w:tcPr>
          <w:p>
            <w:pPr>
              <w:jc w:val="center"/>
            </w:pPr>
            <w:r>
              <w:rPr>
                <w:rFonts w:ascii="游明朝" w:hAnsi="游明朝"/>
                <w:b/>
                <w:sz w:val="18"/>
              </w:rPr>
              <w:t>値</w:t>
            </w:r>
          </w:p>
        </w:tc>
      </w:tr>
      <w:tr>
        <w:tc>
          <w:tcPr>
            <w:tcW w:type="dxa" w:w="2835"/>
          </w:tcPr>
          <w:p>
            <w:r>
              <w:rPr>
                <w:rFonts w:ascii="游明朝" w:hAnsi="游明朝"/>
                <w:sz w:val="18"/>
              </w:rPr>
              <w:t>初回テストPASS</w:t>
            </w:r>
          </w:p>
        </w:tc>
        <w:tc>
          <w:tcPr>
            <w:tcW w:type="dxa" w:w="2835"/>
          </w:tcPr>
          <w:p>
            <w:r>
              <w:rPr>
                <w:rFonts w:ascii="游明朝" w:hAnsi="游明朝"/>
                <w:sz w:val="18"/>
              </w:rPr>
              <w:t>133/145件 (91.7%)</w:t>
            </w:r>
          </w:p>
        </w:tc>
      </w:tr>
      <w:tr>
        <w:tc>
          <w:tcPr>
            <w:tcW w:type="dxa" w:w="2835"/>
          </w:tcPr>
          <w:p>
            <w:r>
              <w:rPr>
                <w:rFonts w:ascii="游明朝" w:hAnsi="游明朝"/>
                <w:sz w:val="18"/>
              </w:rPr>
              <w:t>初回テストFAIL</w:t>
            </w:r>
          </w:p>
        </w:tc>
        <w:tc>
          <w:tcPr>
            <w:tcW w:type="dxa" w:w="2835"/>
          </w:tcPr>
          <w:p>
            <w:r>
              <w:rPr>
                <w:rFonts w:ascii="游明朝" w:hAnsi="游明朝"/>
                <w:sz w:val="18"/>
              </w:rPr>
              <w:t>12件 (8.3%)</w:t>
            </w:r>
          </w:p>
        </w:tc>
      </w:tr>
      <w:tr>
        <w:tc>
          <w:tcPr>
            <w:tcW w:type="dxa" w:w="2835"/>
          </w:tcPr>
          <w:p>
            <w:r>
              <w:rPr>
                <w:rFonts w:ascii="游明朝" w:hAnsi="游明朝"/>
                <w:sz w:val="18"/>
              </w:rPr>
              <w:t>FAIL原因: 対象関数のバグ</w:t>
            </w:r>
          </w:p>
        </w:tc>
        <w:tc>
          <w:tcPr>
            <w:tcW w:type="dxa" w:w="2835"/>
          </w:tcPr>
          <w:p>
            <w:r>
              <w:rPr>
                <w:rFonts w:ascii="游明朝" w:hAnsi="游明朝"/>
                <w:sz w:val="18"/>
              </w:rPr>
              <w:t>0件</w:t>
            </w:r>
          </w:p>
        </w:tc>
      </w:tr>
      <w:tr>
        <w:tc>
          <w:tcPr>
            <w:tcW w:type="dxa" w:w="2835"/>
          </w:tcPr>
          <w:p>
            <w:r>
              <w:rPr>
                <w:rFonts w:ascii="游明朝" w:hAnsi="游明朝"/>
                <w:sz w:val="18"/>
              </w:rPr>
              <w:t>FAIL原因: LLMの期待値推論誤り</w:t>
            </w:r>
          </w:p>
        </w:tc>
        <w:tc>
          <w:tcPr>
            <w:tcW w:type="dxa" w:w="2835"/>
          </w:tcPr>
          <w:p>
            <w:r>
              <w:rPr>
                <w:rFonts w:ascii="游明朝" w:hAnsi="游明朝"/>
                <w:sz w:val="18"/>
              </w:rPr>
              <w:t>12件 (100%)</w:t>
            </w:r>
          </w:p>
        </w:tc>
      </w:tr>
      <w:tr>
        <w:tc>
          <w:tcPr>
            <w:tcW w:type="dxa" w:w="2835"/>
          </w:tcPr>
          <w:p>
            <w:r>
              <w:rPr>
                <w:rFonts w:ascii="游明朝" w:hAnsi="游明朝"/>
                <w:sz w:val="18"/>
              </w:rPr>
              <w:t>修正後テストPASS</w:t>
            </w:r>
          </w:p>
        </w:tc>
        <w:tc>
          <w:tcPr>
            <w:tcW w:type="dxa" w:w="2835"/>
          </w:tcPr>
          <w:p>
            <w:r>
              <w:rPr>
                <w:rFonts w:ascii="游明朝" w:hAnsi="游明朝"/>
                <w:sz w:val="18"/>
              </w:rPr>
              <w:t>145/145件 (100%)</w:t>
            </w:r>
          </w:p>
        </w:tc>
      </w:tr>
    </w:tbl>
    <w:p/>
    <w:p>
      <w:pPr>
        <w:spacing w:after="80" w:before="0" w:line="320" w:lineRule="exact"/>
      </w:pPr>
      <w:r>
        <w:rPr>
          <w:rFonts w:ascii="游明朝" w:hAnsi="游明朝"/>
          <w:b w:val="0"/>
          <w:i w:val="0"/>
          <w:sz w:val="20"/>
        </w:rPr>
        <w:t>12件のFAILは全てLLMがテスト期待値を誤って推論したものであり、対象関数の実装バグは検出されなかった。</w:t>
      </w:r>
    </w:p>
    <w:p>
      <w:pPr>
        <w:spacing w:after="40"/>
        <w:jc w:val="center"/>
      </w:pPr>
      <w:r>
        <w:drawing>
          <wp:inline xmlns:a="http://schemas.openxmlformats.org/drawingml/2006/main" xmlns:pic="http://schemas.openxmlformats.org/drawingml/2006/picture">
            <wp:extent cx="4320000" cy="2683927"/>
            <wp:docPr id="4" name="Picture 4"/>
            <wp:cNvGraphicFramePr>
              <a:graphicFrameLocks noChangeAspect="1"/>
            </wp:cNvGraphicFramePr>
            <a:graphic>
              <a:graphicData uri="http://schemas.openxmlformats.org/drawingml/2006/picture">
                <pic:pic>
                  <pic:nvPicPr>
                    <pic:cNvPr id="0" name="fig4-execution-results.png"/>
                    <pic:cNvPicPr/>
                  </pic:nvPicPr>
                  <pic:blipFill>
                    <a:blip r:embed="rId12"/>
                    <a:stretch>
                      <a:fillRect/>
                    </a:stretch>
                  </pic:blipFill>
                  <pic:spPr>
                    <a:xfrm>
                      <a:off x="0" y="0"/>
                      <a:ext cx="4320000" cy="2683927"/>
                    </a:xfrm>
                    <a:prstGeom prst="rect"/>
                  </pic:spPr>
                </pic:pic>
              </a:graphicData>
            </a:graphic>
          </wp:inline>
        </w:drawing>
      </w:r>
    </w:p>
    <w:p>
      <w:pPr>
        <w:spacing w:after="120"/>
        <w:jc w:val="center"/>
      </w:pPr>
      <w:r>
        <w:rPr>
          <w:rFonts w:ascii="游明朝" w:hAnsi="游明朝"/>
          <w:i/>
          <w:sz w:val="18"/>
        </w:rPr>
        <w:t>図4: コンパイル・実行結果（初回→修正後）</w:t>
      </w:r>
    </w:p>
    <w:p>
      <w:pPr>
        <w:spacing w:before="160" w:after="40" w:line="320" w:lineRule="exact"/>
      </w:pPr>
      <w:r>
        <w:rPr>
          <w:rFonts w:ascii="游明朝" w:hAnsi="游明朝"/>
          <w:b/>
          <w:sz w:val="21"/>
        </w:rPr>
        <w:t>3.4 FAIL分析とTRMの診断効果（P3: テスト失敗時の原因特定コストに対応）</w:t>
      </w:r>
    </w:p>
    <w:p>
      <w:pPr>
        <w:spacing w:after="80" w:before="0" w:line="320" w:lineRule="exact"/>
      </w:pPr>
      <w:r>
        <w:rPr>
          <w:rFonts w:ascii="游明朝" w:hAnsi="游明朝"/>
          <w:b w:val="0"/>
          <w:i w:val="0"/>
          <w:sz w:val="20"/>
        </w:rPr>
        <w:t>12件のFAILについて、TRMのIDから原因を分類した結果を以下に示す。TRM IDはmacos-build-reportにおける失敗テスト名との照合に基づく。</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tcPr>
          <w:p>
            <w:pPr>
              <w:jc w:val="center"/>
            </w:pPr>
            <w:r>
              <w:rPr>
                <w:rFonts w:ascii="游明朝" w:hAnsi="游明朝"/>
                <w:b/>
                <w:sz w:val="17"/>
              </w:rPr>
              <w:t>原因分類</w:t>
            </w:r>
          </w:p>
        </w:tc>
        <w:tc>
          <w:tcPr>
            <w:tcW w:type="dxa" w:w="567"/>
          </w:tcPr>
          <w:p>
            <w:pPr>
              <w:jc w:val="center"/>
            </w:pPr>
            <w:r>
              <w:rPr>
                <w:rFonts w:ascii="游明朝" w:hAnsi="游明朝"/>
                <w:b/>
                <w:sz w:val="17"/>
              </w:rPr>
              <w:t>件数</w:t>
            </w:r>
          </w:p>
        </w:tc>
        <w:tc>
          <w:tcPr>
            <w:tcW w:type="dxa" w:w="1701"/>
          </w:tcPr>
          <w:p>
            <w:pPr>
              <w:jc w:val="center"/>
            </w:pPr>
            <w:r>
              <w:rPr>
                <w:rFonts w:ascii="游明朝" w:hAnsi="游明朝"/>
                <w:b/>
                <w:sz w:val="17"/>
              </w:rPr>
              <w:t>対応するTRM ID</w:t>
            </w:r>
          </w:p>
        </w:tc>
        <w:tc>
          <w:tcPr>
            <w:tcW w:type="dxa" w:w="2835"/>
          </w:tcPr>
          <w:p>
            <w:pPr>
              <w:jc w:val="center"/>
            </w:pPr>
            <w:r>
              <w:rPr>
                <w:rFonts w:ascii="游明朝" w:hAnsi="游明朝"/>
                <w:b/>
                <w:sz w:val="17"/>
              </w:rPr>
              <w:t>原因の技術的詳細</w:t>
            </w:r>
          </w:p>
        </w:tc>
      </w:tr>
      <w:tr>
        <w:tc>
          <w:tcPr>
            <w:tcW w:type="dxa" w:w="1701"/>
          </w:tcPr>
          <w:p>
            <w:r>
              <w:rPr>
                <w:rFonts w:ascii="游明朝" w:hAnsi="游明朝"/>
                <w:sz w:val="17"/>
              </w:rPr>
              <w:t>コンポーネント分割の誤解</w:t>
            </w:r>
          </w:p>
        </w:tc>
        <w:tc>
          <w:tcPr>
            <w:tcW w:type="dxa" w:w="567"/>
          </w:tcPr>
          <w:p>
            <w:r>
              <w:rPr>
                <w:rFonts w:ascii="游明朝" w:hAnsi="游明朝"/>
                <w:sz w:val="17"/>
              </w:rPr>
              <w:t>5</w:t>
            </w:r>
          </w:p>
        </w:tc>
        <w:tc>
          <w:tcPr>
            <w:tcW w:type="dxa" w:w="1701"/>
          </w:tcPr>
          <w:p>
            <w:r>
              <w:rPr>
                <w:rFonts w:ascii="游明朝" w:hAnsi="游明朝"/>
                <w:sz w:val="17"/>
              </w:rPr>
              <w:t>BR-11〜15</w:t>
              <w:br/>
              <w:t>（BR-20〜23と関連）</w:t>
            </w:r>
          </w:p>
        </w:tc>
        <w:tc>
          <w:tcPr>
            <w:tcW w:type="dxa" w:w="2835"/>
          </w:tcPr>
          <w:p>
            <w:r>
              <w:rPr>
                <w:rFonts w:ascii="游明朝" w:hAnsi="游明朝"/>
                <w:sz w:val="17"/>
              </w:rPr>
              <w:t>"2.4.1alpha"を1コンポーネントと予測。</w:t>
              <w:br/>
              <w:t>実際は"1"と"alpha"が別コンポーネント</w:t>
            </w:r>
          </w:p>
        </w:tc>
      </w:tr>
      <w:tr>
        <w:tc>
          <w:tcPr>
            <w:tcW w:type="dxa" w:w="1701"/>
          </w:tcPr>
          <w:p>
            <w:r>
              <w:rPr>
                <w:rFonts w:ascii="游明朝" w:hAnsi="游明朝"/>
                <w:sz w:val="17"/>
              </w:rPr>
              <w:t>数字グルーピングの誤解</w:t>
            </w:r>
          </w:p>
        </w:tc>
        <w:tc>
          <w:tcPr>
            <w:tcW w:type="dxa" w:w="567"/>
          </w:tcPr>
          <w:p>
            <w:r>
              <w:rPr>
                <w:rFonts w:ascii="游明朝" w:hAnsi="游明朝"/>
                <w:sz w:val="17"/>
              </w:rPr>
              <w:t>1</w:t>
            </w:r>
          </w:p>
        </w:tc>
        <w:tc>
          <w:tcPr>
            <w:tcW w:type="dxa" w:w="1701"/>
          </w:tcPr>
          <w:p>
            <w:r>
              <w:rPr>
                <w:rFonts w:ascii="游明朝" w:hAnsi="游明朝"/>
                <w:sz w:val="17"/>
              </w:rPr>
              <w:t>EC（同値クラス内部）</w:t>
            </w:r>
          </w:p>
        </w:tc>
        <w:tc>
          <w:tcPr>
            <w:tcW w:type="dxa" w:w="2835"/>
          </w:tcPr>
          <w:p>
            <w:r>
              <w:rPr>
                <w:rFonts w:ascii="游明朝" w:hAnsi="游明朝"/>
                <w:sz w:val="17"/>
              </w:rPr>
              <w:t>"1234"を1桁ずつと予測。</w:t>
              <w:br/>
              <w:t>実際は2桁ずつ区切り</w:t>
            </w:r>
          </w:p>
        </w:tc>
      </w:tr>
      <w:tr>
        <w:tc>
          <w:tcPr>
            <w:tcW w:type="dxa" w:w="1701"/>
          </w:tcPr>
          <w:p>
            <w:r>
              <w:rPr>
                <w:rFonts w:ascii="游明朝" w:hAnsi="游明朝"/>
                <w:sz w:val="17"/>
              </w:rPr>
              <w:t>文字数カウントミス</w:t>
            </w:r>
          </w:p>
        </w:tc>
        <w:tc>
          <w:tcPr>
            <w:tcW w:type="dxa" w:w="567"/>
          </w:tcPr>
          <w:p>
            <w:r>
              <w:rPr>
                <w:rFonts w:ascii="游明朝" w:hAnsi="游明朝"/>
                <w:sz w:val="17"/>
              </w:rPr>
              <w:t>2</w:t>
            </w:r>
          </w:p>
        </w:tc>
        <w:tc>
          <w:tcPr>
            <w:tcW w:type="dxa" w:w="1701"/>
          </w:tcPr>
          <w:p>
            <w:r>
              <w:rPr>
                <w:rFonts w:ascii="游明朝" w:hAnsi="游明朝"/>
                <w:sz w:val="17"/>
              </w:rPr>
              <w:t>BR-34, EC</w:t>
              <w:br/>
              <w:t>（ドメイン構造）</w:t>
            </w:r>
          </w:p>
        </w:tc>
        <w:tc>
          <w:tcPr>
            <w:tcW w:type="dxa" w:w="2835"/>
          </w:tcPr>
          <w:p>
            <w:r>
              <w:rPr>
                <w:rFonts w:ascii="游明朝" w:hAnsi="游明朝"/>
                <w:sz w:val="17"/>
              </w:rPr>
              <w:t>wcslen=18をnull込み19と誤算</w:t>
            </w:r>
          </w:p>
        </w:tc>
      </w:tr>
      <w:tr>
        <w:tc>
          <w:tcPr>
            <w:tcW w:type="dxa" w:w="1701"/>
          </w:tcPr>
          <w:p>
            <w:r>
              <w:rPr>
                <w:rFonts w:ascii="游明朝" w:hAnsi="游明朝"/>
                <w:sz w:val="17"/>
              </w:rPr>
              <w:t>API呼び出しバグ</w:t>
            </w:r>
          </w:p>
        </w:tc>
        <w:tc>
          <w:tcPr>
            <w:tcW w:type="dxa" w:w="567"/>
          </w:tcPr>
          <w:p>
            <w:r>
              <w:rPr>
                <w:rFonts w:ascii="游明朝" w:hAnsi="游明朝"/>
                <w:sz w:val="17"/>
              </w:rPr>
              <w:t>1</w:t>
            </w:r>
          </w:p>
        </w:tc>
        <w:tc>
          <w:tcPr>
            <w:tcW w:type="dxa" w:w="1701"/>
          </w:tcPr>
          <w:p>
            <w:r>
              <w:rPr>
                <w:rFonts w:ascii="游明朝" w:hAnsi="游明朝"/>
                <w:sz w:val="17"/>
              </w:rPr>
              <w:t>EC-16</w:t>
            </w:r>
          </w:p>
        </w:tc>
        <w:tc>
          <w:tcPr>
            <w:tcW w:type="dxa" w:w="2835"/>
          </w:tcPr>
          <w:p>
            <w:r>
              <w:rPr>
                <w:rFonts w:ascii="游明朝" w:hAnsi="游明朝"/>
                <w:sz w:val="17"/>
              </w:rPr>
              <w:t>offsetとバッファポインタの二重シフト</w:t>
            </w:r>
          </w:p>
        </w:tc>
      </w:tr>
      <w:tr>
        <w:tc>
          <w:tcPr>
            <w:tcW w:type="dxa" w:w="1701"/>
          </w:tcPr>
          <w:p>
            <w:r>
              <w:rPr>
                <w:rFonts w:ascii="游明朝" w:hAnsi="游明朝"/>
                <w:sz w:val="17"/>
              </w:rPr>
              <w:t>マッピング戻り値の誤解</w:t>
            </w:r>
          </w:p>
        </w:tc>
        <w:tc>
          <w:tcPr>
            <w:tcW w:type="dxa" w:w="567"/>
          </w:tcPr>
          <w:p>
            <w:r>
              <w:rPr>
                <w:rFonts w:ascii="游明朝" w:hAnsi="游明朝"/>
                <w:sz w:val="17"/>
              </w:rPr>
              <w:t>3</w:t>
            </w:r>
          </w:p>
        </w:tc>
        <w:tc>
          <w:tcPr>
            <w:tcW w:type="dxa" w:w="1701"/>
          </w:tcPr>
          <w:p>
            <w:r>
              <w:rPr>
                <w:rFonts w:ascii="游明朝" w:hAnsi="游明朝"/>
                <w:sz w:val="17"/>
              </w:rPr>
              <w:t>BR-39〜41</w:t>
            </w:r>
          </w:p>
        </w:tc>
        <w:tc>
          <w:tcPr>
            <w:tcW w:type="dxa" w:w="2835"/>
          </w:tcPr>
          <w:p>
            <w:r>
              <w:rPr>
                <w:rFonts w:ascii="游明朝" w:hAnsi="游明朝"/>
                <w:sz w:val="17"/>
              </w:rPr>
              <w:t>変数マッピング後の返却値を元の値と誤認</w:t>
            </w:r>
          </w:p>
        </w:tc>
      </w:tr>
    </w:tbl>
    <w:p/>
    <w:p>
      <w:pPr>
        <w:spacing w:after="80" w:before="0" w:line="320" w:lineRule="exact"/>
      </w:pPr>
      <w:r>
        <w:rPr>
          <w:rFonts w:ascii="游明朝" w:hAnsi="游明朝"/>
          <w:b w:val="0"/>
          <w:i w:val="0"/>
          <w:sz w:val="20"/>
        </w:rPr>
        <w:t>TRMがない場合、145件のテストコードとC++ソースコードを逐一突合し、16進数のビット操作やポインタ演算を追跡して原因を特定する必要がある。TRMがある場合、テストケースに付与されたTRM IDから該当要求の日本語説明と根拠（ソースコード行参照）を即座に特定でき、原因分類が構造的に行えた。12件全てが要求レベルで分類可能であり、うち約8件はコード非専門者にも理解可能な粒度で診断できた。</w:t>
      </w:r>
    </w:p>
    <w:p>
      <w:pPr>
        <w:spacing w:before="160" w:after="40" w:line="320" w:lineRule="exact"/>
      </w:pPr>
      <w:r>
        <w:rPr>
          <w:rFonts w:ascii="游明朝" w:hAnsi="游明朝"/>
          <w:b/>
          <w:sz w:val="21"/>
        </w:rPr>
        <w:t>3.5 品質ギャップ分析（P2: 網羅性の事前把握に対応）</w:t>
      </w:r>
    </w:p>
    <w:p>
      <w:pPr>
        <w:spacing w:after="80" w:before="0" w:line="320" w:lineRule="exact"/>
      </w:pPr>
      <w:r>
        <w:rPr>
          <w:rFonts w:ascii="游明朝" w:hAnsi="游明朝"/>
          <w:b w:val="0"/>
          <w:i w:val="0"/>
          <w:sz w:val="20"/>
        </w:rPr>
        <w:t>TRMと既存テストを照合し、既存テストで未カバーのテスト要求を種別ごとに集計した（図5）。なお、既存テストとの照合は既存テストコードの内容からの推定に基づく。</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tcPr>
          <w:p>
            <w:pPr>
              <w:jc w:val="center"/>
            </w:pPr>
            <w:r>
              <w:rPr>
                <w:rFonts w:ascii="游明朝" w:hAnsi="游明朝"/>
                <w:b/>
                <w:sz w:val="17"/>
              </w:rPr>
              <w:t>種別</w:t>
            </w:r>
          </w:p>
        </w:tc>
        <w:tc>
          <w:tcPr>
            <w:tcW w:type="dxa" w:w="1134"/>
          </w:tcPr>
          <w:p>
            <w:pPr>
              <w:jc w:val="center"/>
            </w:pPr>
            <w:r>
              <w:rPr>
                <w:rFonts w:ascii="游明朝" w:hAnsi="游明朝"/>
                <w:b/>
                <w:sz w:val="17"/>
              </w:rPr>
              <w:t>TRM要求数</w:t>
            </w:r>
          </w:p>
        </w:tc>
        <w:tc>
          <w:tcPr>
            <w:tcW w:type="dxa" w:w="1984"/>
          </w:tcPr>
          <w:p>
            <w:pPr>
              <w:jc w:val="center"/>
            </w:pPr>
            <w:r>
              <w:rPr>
                <w:rFonts w:ascii="游明朝" w:hAnsi="游明朝"/>
                <w:b/>
                <w:sz w:val="17"/>
              </w:rPr>
              <w:t>既存テストでカバー済み（推定）</w:t>
            </w:r>
          </w:p>
        </w:tc>
        <w:tc>
          <w:tcPr>
            <w:tcW w:type="dxa" w:w="1417"/>
          </w:tcPr>
          <w:p>
            <w:pPr>
              <w:jc w:val="center"/>
            </w:pPr>
            <w:r>
              <w:rPr>
                <w:rFonts w:ascii="游明朝" w:hAnsi="游明朝"/>
                <w:b/>
                <w:sz w:val="17"/>
              </w:rPr>
              <w:t>未カバー（推定）</w:t>
            </w:r>
          </w:p>
        </w:tc>
        <w:tc>
          <w:tcPr>
            <w:tcW w:type="dxa" w:w="1134"/>
          </w:tcPr>
          <w:p>
            <w:pPr>
              <w:jc w:val="center"/>
            </w:pPr>
            <w:r>
              <w:rPr>
                <w:rFonts w:ascii="游明朝" w:hAnsi="游明朝"/>
                <w:b/>
                <w:sz w:val="17"/>
              </w:rPr>
              <w:t>未カバー率</w:t>
            </w:r>
          </w:p>
        </w:tc>
      </w:tr>
      <w:tr>
        <w:tc>
          <w:tcPr>
            <w:tcW w:type="dxa" w:w="1020"/>
          </w:tcPr>
          <w:p>
            <w:r>
              <w:rPr>
                <w:rFonts w:ascii="游明朝" w:hAnsi="游明朝"/>
                <w:sz w:val="17"/>
              </w:rPr>
              <w:t>BR</w:t>
            </w:r>
          </w:p>
        </w:tc>
        <w:tc>
          <w:tcPr>
            <w:tcW w:type="dxa" w:w="1134"/>
          </w:tcPr>
          <w:p>
            <w:r>
              <w:rPr>
                <w:rFonts w:ascii="游明朝" w:hAnsi="游明朝"/>
                <w:sz w:val="17"/>
              </w:rPr>
              <w:t>55</w:t>
            </w:r>
          </w:p>
        </w:tc>
        <w:tc>
          <w:tcPr>
            <w:tcW w:type="dxa" w:w="1984"/>
          </w:tcPr>
          <w:p>
            <w:r>
              <w:rPr>
                <w:rFonts w:ascii="游明朝" w:hAnsi="游明朝"/>
                <w:sz w:val="17"/>
              </w:rPr>
              <w:t>26</w:t>
            </w:r>
          </w:p>
        </w:tc>
        <w:tc>
          <w:tcPr>
            <w:tcW w:type="dxa" w:w="1417"/>
          </w:tcPr>
          <w:p>
            <w:r>
              <w:rPr>
                <w:rFonts w:ascii="游明朝" w:hAnsi="游明朝"/>
                <w:sz w:val="17"/>
              </w:rPr>
              <w:t>29</w:t>
            </w:r>
          </w:p>
        </w:tc>
        <w:tc>
          <w:tcPr>
            <w:tcW w:type="dxa" w:w="1134"/>
          </w:tcPr>
          <w:p>
            <w:r>
              <w:rPr>
                <w:rFonts w:ascii="游明朝" w:hAnsi="游明朝"/>
                <w:sz w:val="17"/>
              </w:rPr>
              <w:t>52.7%</w:t>
            </w:r>
          </w:p>
        </w:tc>
      </w:tr>
      <w:tr>
        <w:tc>
          <w:tcPr>
            <w:tcW w:type="dxa" w:w="1020"/>
          </w:tcPr>
          <w:p>
            <w:r>
              <w:rPr>
                <w:rFonts w:ascii="游明朝" w:hAnsi="游明朝"/>
                <w:sz w:val="17"/>
              </w:rPr>
              <w:t>EC</w:t>
            </w:r>
          </w:p>
        </w:tc>
        <w:tc>
          <w:tcPr>
            <w:tcW w:type="dxa" w:w="1134"/>
          </w:tcPr>
          <w:p>
            <w:r>
              <w:rPr>
                <w:rFonts w:ascii="游明朝" w:hAnsi="游明朝"/>
                <w:sz w:val="17"/>
              </w:rPr>
              <w:t>27</w:t>
            </w:r>
          </w:p>
        </w:tc>
        <w:tc>
          <w:tcPr>
            <w:tcW w:type="dxa" w:w="1984"/>
          </w:tcPr>
          <w:p>
            <w:r>
              <w:rPr>
                <w:rFonts w:ascii="游明朝" w:hAnsi="游明朝"/>
                <w:sz w:val="17"/>
              </w:rPr>
              <w:t>8</w:t>
            </w:r>
          </w:p>
        </w:tc>
        <w:tc>
          <w:tcPr>
            <w:tcW w:type="dxa" w:w="1417"/>
          </w:tcPr>
          <w:p>
            <w:r>
              <w:rPr>
                <w:rFonts w:ascii="游明朝" w:hAnsi="游明朝"/>
                <w:sz w:val="17"/>
              </w:rPr>
              <w:t>19</w:t>
            </w:r>
          </w:p>
        </w:tc>
        <w:tc>
          <w:tcPr>
            <w:tcW w:type="dxa" w:w="1134"/>
          </w:tcPr>
          <w:p>
            <w:r>
              <w:rPr>
                <w:rFonts w:ascii="游明朝" w:hAnsi="游明朝"/>
                <w:sz w:val="17"/>
              </w:rPr>
              <w:t>70.4%</w:t>
            </w:r>
          </w:p>
        </w:tc>
      </w:tr>
      <w:tr>
        <w:tc>
          <w:tcPr>
            <w:tcW w:type="dxa" w:w="1020"/>
          </w:tcPr>
          <w:p>
            <w:r>
              <w:rPr>
                <w:rFonts w:ascii="游明朝" w:hAnsi="游明朝"/>
                <w:sz w:val="17"/>
              </w:rPr>
              <w:t>BV</w:t>
            </w:r>
          </w:p>
        </w:tc>
        <w:tc>
          <w:tcPr>
            <w:tcW w:type="dxa" w:w="1134"/>
          </w:tcPr>
          <w:p>
            <w:r>
              <w:rPr>
                <w:rFonts w:ascii="游明朝" w:hAnsi="游明朝"/>
                <w:sz w:val="17"/>
              </w:rPr>
              <w:t>11</w:t>
            </w:r>
          </w:p>
        </w:tc>
        <w:tc>
          <w:tcPr>
            <w:tcW w:type="dxa" w:w="1984"/>
          </w:tcPr>
          <w:p>
            <w:r>
              <w:rPr>
                <w:rFonts w:ascii="游明朝" w:hAnsi="游明朝"/>
                <w:sz w:val="17"/>
              </w:rPr>
              <w:t>3</w:t>
            </w:r>
          </w:p>
        </w:tc>
        <w:tc>
          <w:tcPr>
            <w:tcW w:type="dxa" w:w="1417"/>
          </w:tcPr>
          <w:p>
            <w:r>
              <w:rPr>
                <w:rFonts w:ascii="游明朝" w:hAnsi="游明朝"/>
                <w:sz w:val="17"/>
              </w:rPr>
              <w:t>8</w:t>
            </w:r>
          </w:p>
        </w:tc>
        <w:tc>
          <w:tcPr>
            <w:tcW w:type="dxa" w:w="1134"/>
          </w:tcPr>
          <w:p>
            <w:r>
              <w:rPr>
                <w:rFonts w:ascii="游明朝" w:hAnsi="游明朝"/>
                <w:sz w:val="17"/>
              </w:rPr>
              <w:t>72.7%</w:t>
            </w:r>
          </w:p>
        </w:tc>
      </w:tr>
      <w:tr>
        <w:tc>
          <w:tcPr>
            <w:tcW w:type="dxa" w:w="1020"/>
          </w:tcPr>
          <w:p>
            <w:r>
              <w:rPr>
                <w:rFonts w:ascii="游明朝" w:hAnsi="游明朝"/>
                <w:sz w:val="17"/>
              </w:rPr>
              <w:t>ER</w:t>
            </w:r>
          </w:p>
        </w:tc>
        <w:tc>
          <w:tcPr>
            <w:tcW w:type="dxa" w:w="1134"/>
          </w:tcPr>
          <w:p>
            <w:r>
              <w:rPr>
                <w:rFonts w:ascii="游明朝" w:hAnsi="游明朝"/>
                <w:sz w:val="17"/>
              </w:rPr>
              <w:t>3</w:t>
            </w:r>
          </w:p>
        </w:tc>
        <w:tc>
          <w:tcPr>
            <w:tcW w:type="dxa" w:w="1984"/>
          </w:tcPr>
          <w:p>
            <w:r>
              <w:rPr>
                <w:rFonts w:ascii="游明朝" w:hAnsi="游明朝"/>
                <w:sz w:val="17"/>
              </w:rPr>
              <w:t>1</w:t>
            </w:r>
          </w:p>
        </w:tc>
        <w:tc>
          <w:tcPr>
            <w:tcW w:type="dxa" w:w="1417"/>
          </w:tcPr>
          <w:p>
            <w:r>
              <w:rPr>
                <w:rFonts w:ascii="游明朝" w:hAnsi="游明朝"/>
                <w:sz w:val="17"/>
              </w:rPr>
              <w:t>2</w:t>
            </w:r>
          </w:p>
        </w:tc>
        <w:tc>
          <w:tcPr>
            <w:tcW w:type="dxa" w:w="1134"/>
          </w:tcPr>
          <w:p>
            <w:r>
              <w:rPr>
                <w:rFonts w:ascii="游明朝" w:hAnsi="游明朝"/>
                <w:sz w:val="17"/>
              </w:rPr>
              <w:t>66.7%</w:t>
            </w:r>
          </w:p>
        </w:tc>
      </w:tr>
      <w:tr>
        <w:tc>
          <w:tcPr>
            <w:tcW w:type="dxa" w:w="1020"/>
          </w:tcPr>
          <w:p>
            <w:r>
              <w:rPr>
                <w:rFonts w:ascii="游明朝" w:hAnsi="游明朝"/>
                <w:sz w:val="17"/>
              </w:rPr>
              <w:t>DP</w:t>
            </w:r>
          </w:p>
        </w:tc>
        <w:tc>
          <w:tcPr>
            <w:tcW w:type="dxa" w:w="1134"/>
          </w:tcPr>
          <w:p>
            <w:r>
              <w:rPr>
                <w:rFonts w:ascii="游明朝" w:hAnsi="游明朝"/>
                <w:sz w:val="17"/>
              </w:rPr>
              <w:t>3</w:t>
            </w:r>
          </w:p>
        </w:tc>
        <w:tc>
          <w:tcPr>
            <w:tcW w:type="dxa" w:w="1984"/>
          </w:tcPr>
          <w:p>
            <w:r>
              <w:rPr>
                <w:rFonts w:ascii="游明朝" w:hAnsi="游明朝"/>
                <w:sz w:val="17"/>
              </w:rPr>
              <w:t>0</w:t>
            </w:r>
          </w:p>
        </w:tc>
        <w:tc>
          <w:tcPr>
            <w:tcW w:type="dxa" w:w="1417"/>
          </w:tcPr>
          <w:p>
            <w:r>
              <w:rPr>
                <w:rFonts w:ascii="游明朝" w:hAnsi="游明朝"/>
                <w:sz w:val="17"/>
              </w:rPr>
              <w:t>3</w:t>
            </w:r>
          </w:p>
        </w:tc>
        <w:tc>
          <w:tcPr>
            <w:tcW w:type="dxa" w:w="1134"/>
          </w:tcPr>
          <w:p>
            <w:r>
              <w:rPr>
                <w:rFonts w:ascii="游明朝" w:hAnsi="游明朝"/>
                <w:sz w:val="17"/>
              </w:rPr>
              <w:t>100%</w:t>
            </w:r>
          </w:p>
        </w:tc>
      </w:tr>
      <w:tr>
        <w:tc>
          <w:tcPr>
            <w:tcW w:type="dxa" w:w="1020"/>
          </w:tcPr>
          <w:p>
            <w:r>
              <w:rPr>
                <w:rFonts w:ascii="游明朝" w:hAnsi="游明朝"/>
                <w:sz w:val="17"/>
              </w:rPr>
              <w:t>合計</w:t>
            </w:r>
          </w:p>
        </w:tc>
        <w:tc>
          <w:tcPr>
            <w:tcW w:type="dxa" w:w="1134"/>
          </w:tcPr>
          <w:p>
            <w:r>
              <w:rPr>
                <w:rFonts w:ascii="游明朝" w:hAnsi="游明朝"/>
                <w:sz w:val="17"/>
              </w:rPr>
              <w:t>99</w:t>
            </w:r>
          </w:p>
        </w:tc>
        <w:tc>
          <w:tcPr>
            <w:tcW w:type="dxa" w:w="1984"/>
          </w:tcPr>
          <w:p>
            <w:r>
              <w:rPr>
                <w:rFonts w:ascii="游明朝" w:hAnsi="游明朝"/>
                <w:sz w:val="17"/>
              </w:rPr>
              <w:t>38</w:t>
            </w:r>
          </w:p>
        </w:tc>
        <w:tc>
          <w:tcPr>
            <w:tcW w:type="dxa" w:w="1417"/>
          </w:tcPr>
          <w:p>
            <w:r>
              <w:rPr>
                <w:rFonts w:ascii="游明朝" w:hAnsi="游明朝"/>
                <w:sz w:val="17"/>
              </w:rPr>
              <w:t>61</w:t>
            </w:r>
          </w:p>
        </w:tc>
        <w:tc>
          <w:tcPr>
            <w:tcW w:type="dxa" w:w="1134"/>
          </w:tcPr>
          <w:p>
            <w:r>
              <w:rPr>
                <w:rFonts w:ascii="游明朝" w:hAnsi="游明朝"/>
                <w:sz w:val="17"/>
              </w:rPr>
              <w:t>61.6%</w:t>
            </w:r>
          </w:p>
        </w:tc>
      </w:tr>
    </w:tbl>
    <w:p/>
    <w:p>
      <w:pPr>
        <w:spacing w:after="80" w:before="0" w:line="320" w:lineRule="exact"/>
      </w:pPr>
      <w:r>
        <w:rPr>
          <w:rFonts w:ascii="游明朝" w:hAnsi="游明朝"/>
          <w:b w:val="0"/>
          <w:i w:val="0"/>
          <w:sz w:val="20"/>
        </w:rPr>
        <w:t>種別間の差は顕著であり、DP(100%) &gt; BV(72.7%) &gt; EC(70.4%) &gt; ER(66.7%) &gt; BR(52.7%)の順で未カバー率が高い。DP（関数間の差異検証・往復変換検証）は既存テストに完全に欠落していた。BV（境界値）とEC（同値クラス）の未カバー率も70%を超えており、既存の手動テストが分岐の主要パス（BR）に偏っていることが定量的に示された。</w:t>
      </w:r>
    </w:p>
    <w:p>
      <w:pPr>
        <w:spacing w:after="80" w:before="0" w:line="320" w:lineRule="exact"/>
      </w:pPr>
      <w:r>
        <w:rPr>
          <w:rFonts w:ascii="游明朝" w:hAnsi="游明朝"/>
          <w:b w:val="0"/>
          <w:i w:val="0"/>
          <w:sz w:val="20"/>
        </w:rPr>
        <w:t>この分析自体が「TRMが存在するからこそ可能」であることに注意すべきである。TRMがなければ、既存テストの品質ギャップは「テストが少ない」という漠然とした認識にとどまり、「何の観点が欠けているか」を構造的に把握することはできない。これはP2（網羅性の事前把握）への解決策として、TRMがテスト「前」に品質ギャップを種別ごとに特定できることを示す。</w:t>
      </w:r>
    </w:p>
    <w:p>
      <w:pPr>
        <w:spacing w:after="40"/>
        <w:jc w:val="center"/>
      </w:pPr>
      <w:r>
        <w:drawing>
          <wp:inline xmlns:a="http://schemas.openxmlformats.org/drawingml/2006/main" xmlns:pic="http://schemas.openxmlformats.org/drawingml/2006/picture">
            <wp:extent cx="3600000" cy="1764661"/>
            <wp:docPr id="5" name="Picture 5"/>
            <wp:cNvGraphicFramePr>
              <a:graphicFrameLocks noChangeAspect="1"/>
            </wp:cNvGraphicFramePr>
            <a:graphic>
              <a:graphicData uri="http://schemas.openxmlformats.org/drawingml/2006/picture">
                <pic:pic>
                  <pic:nvPicPr>
                    <pic:cNvPr id="0" name="fig5-quality-gap.png"/>
                    <pic:cNvPicPr/>
                  </pic:nvPicPr>
                  <pic:blipFill>
                    <a:blip r:embed="rId13"/>
                    <a:stretch>
                      <a:fillRect/>
                    </a:stretch>
                  </pic:blipFill>
                  <pic:spPr>
                    <a:xfrm>
                      <a:off x="0" y="0"/>
                      <a:ext cx="3600000" cy="1764661"/>
                    </a:xfrm>
                    <a:prstGeom prst="rect"/>
                  </pic:spPr>
                </pic:pic>
              </a:graphicData>
            </a:graphic>
          </wp:inline>
        </w:drawing>
      </w:r>
    </w:p>
    <w:p>
      <w:pPr>
        <w:spacing w:after="120"/>
        <w:jc w:val="center"/>
      </w:pPr>
      <w:r>
        <w:rPr>
          <w:rFonts w:ascii="游明朝" w:hAnsi="游明朝"/>
          <w:i/>
          <w:sz w:val="18"/>
        </w:rPr>
        <w:t>図5: 既存テストの品質ギャップ分析（種別別未カバー率）</w:t>
      </w:r>
    </w:p>
    <w:p>
      <w:pPr>
        <w:spacing w:before="160" w:after="40" w:line="320" w:lineRule="exact"/>
      </w:pPr>
      <w:r>
        <w:rPr>
          <w:rFonts w:ascii="游明朝" w:hAnsi="游明朝"/>
          <w:b/>
          <w:sz w:val="21"/>
        </w:rPr>
        <w:t>3.6 可読性分析</w:t>
      </w:r>
    </w:p>
    <w:p>
      <w:pPr>
        <w:spacing w:after="80" w:before="0" w:line="320" w:lineRule="exact"/>
      </w:pPr>
      <w:r>
        <w:rPr>
          <w:rFonts w:ascii="游明朝" w:hAnsi="游明朝"/>
          <w:b w:val="0"/>
          <w:i w:val="0"/>
          <w:sz w:val="20"/>
        </w:rPr>
        <w:t>TRMの可読性（コード非専門者がテスト要求を理解できるか）を種別別・領域別に分析した結果を以下に示す。</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tcPr>
          <w:p>
            <w:pPr>
              <w:jc w:val="center"/>
            </w:pPr>
            <w:r>
              <w:rPr>
                <w:rFonts w:ascii="游明朝" w:hAnsi="游明朝"/>
                <w:b/>
                <w:sz w:val="16"/>
              </w:rPr>
              <w:t>種別</w:t>
            </w:r>
          </w:p>
        </w:tc>
        <w:tc>
          <w:tcPr>
            <w:tcW w:type="dxa" w:w="567"/>
          </w:tcPr>
          <w:p>
            <w:pPr>
              <w:jc w:val="center"/>
            </w:pPr>
            <w:r>
              <w:rPr>
                <w:rFonts w:ascii="游明朝" w:hAnsi="游明朝"/>
                <w:b/>
                <w:sz w:val="16"/>
              </w:rPr>
              <w:t>件数</w:t>
            </w:r>
          </w:p>
        </w:tc>
        <w:tc>
          <w:tcPr>
            <w:tcW w:type="dxa" w:w="1417"/>
          </w:tcPr>
          <w:p>
            <w:pPr>
              <w:jc w:val="center"/>
            </w:pPr>
            <w:r>
              <w:rPr>
                <w:rFonts w:ascii="游明朝" w:hAnsi="游明朝"/>
                <w:b/>
                <w:sz w:val="16"/>
              </w:rPr>
              <w:t>L1（コード知識不要）</w:t>
            </w:r>
          </w:p>
        </w:tc>
        <w:tc>
          <w:tcPr>
            <w:tcW w:type="dxa" w:w="1417"/>
          </w:tcPr>
          <w:p>
            <w:pPr>
              <w:jc w:val="center"/>
            </w:pPr>
            <w:r>
              <w:rPr>
                <w:rFonts w:ascii="游明朝" w:hAnsi="游明朝"/>
                <w:b/>
                <w:sz w:val="16"/>
              </w:rPr>
              <w:t>L2（ドメイン知識のみ）</w:t>
            </w:r>
          </w:p>
        </w:tc>
        <w:tc>
          <w:tcPr>
            <w:tcW w:type="dxa" w:w="1417"/>
          </w:tcPr>
          <w:p>
            <w:pPr>
              <w:jc w:val="center"/>
            </w:pPr>
            <w:r>
              <w:rPr>
                <w:rFonts w:ascii="游明朝" w:hAnsi="游明朝"/>
                <w:b/>
                <w:sz w:val="16"/>
              </w:rPr>
              <w:t>L3（コード知識必要）</w:t>
            </w:r>
          </w:p>
        </w:tc>
        <w:tc>
          <w:tcPr>
            <w:tcW w:type="dxa" w:w="1134"/>
          </w:tcPr>
          <w:p>
            <w:pPr>
              <w:jc w:val="center"/>
            </w:pPr>
            <w:r>
              <w:rPr>
                <w:rFonts w:ascii="游明朝" w:hAnsi="游明朝"/>
                <w:b/>
                <w:sz w:val="16"/>
              </w:rPr>
              <w:t>可読率(L1+L2)</w:t>
            </w:r>
          </w:p>
        </w:tc>
      </w:tr>
      <w:tr>
        <w:tc>
          <w:tcPr>
            <w:tcW w:type="dxa" w:w="850"/>
          </w:tcPr>
          <w:p>
            <w:r>
              <w:rPr>
                <w:rFonts w:ascii="游明朝" w:hAnsi="游明朝"/>
                <w:sz w:val="16"/>
              </w:rPr>
              <w:t>BR</w:t>
            </w:r>
          </w:p>
        </w:tc>
        <w:tc>
          <w:tcPr>
            <w:tcW w:type="dxa" w:w="567"/>
          </w:tcPr>
          <w:p>
            <w:r>
              <w:rPr>
                <w:rFonts w:ascii="游明朝" w:hAnsi="游明朝"/>
                <w:sz w:val="16"/>
              </w:rPr>
              <w:t>55</w:t>
            </w:r>
          </w:p>
        </w:tc>
        <w:tc>
          <w:tcPr>
            <w:tcW w:type="dxa" w:w="1417"/>
          </w:tcPr>
          <w:p>
            <w:r>
              <w:rPr>
                <w:rFonts w:ascii="游明朝" w:hAnsi="游明朝"/>
                <w:sz w:val="16"/>
              </w:rPr>
              <w:t>20</w:t>
            </w:r>
          </w:p>
        </w:tc>
        <w:tc>
          <w:tcPr>
            <w:tcW w:type="dxa" w:w="1417"/>
          </w:tcPr>
          <w:p>
            <w:r>
              <w:rPr>
                <w:rFonts w:ascii="游明朝" w:hAnsi="游明朝"/>
                <w:sz w:val="16"/>
              </w:rPr>
              <w:t>14</w:t>
            </w:r>
          </w:p>
        </w:tc>
        <w:tc>
          <w:tcPr>
            <w:tcW w:type="dxa" w:w="1417"/>
          </w:tcPr>
          <w:p>
            <w:r>
              <w:rPr>
                <w:rFonts w:ascii="游明朝" w:hAnsi="游明朝"/>
                <w:sz w:val="16"/>
              </w:rPr>
              <w:t>21</w:t>
            </w:r>
          </w:p>
        </w:tc>
        <w:tc>
          <w:tcPr>
            <w:tcW w:type="dxa" w:w="1134"/>
          </w:tcPr>
          <w:p>
            <w:r>
              <w:rPr>
                <w:rFonts w:ascii="游明朝" w:hAnsi="游明朝"/>
                <w:sz w:val="16"/>
              </w:rPr>
              <w:t>61.8%</w:t>
            </w:r>
          </w:p>
        </w:tc>
      </w:tr>
      <w:tr>
        <w:tc>
          <w:tcPr>
            <w:tcW w:type="dxa" w:w="850"/>
          </w:tcPr>
          <w:p>
            <w:r>
              <w:rPr>
                <w:rFonts w:ascii="游明朝" w:hAnsi="游明朝"/>
                <w:sz w:val="16"/>
              </w:rPr>
              <w:t>EC</w:t>
            </w:r>
          </w:p>
        </w:tc>
        <w:tc>
          <w:tcPr>
            <w:tcW w:type="dxa" w:w="567"/>
          </w:tcPr>
          <w:p>
            <w:r>
              <w:rPr>
                <w:rFonts w:ascii="游明朝" w:hAnsi="游明朝"/>
                <w:sz w:val="16"/>
              </w:rPr>
              <w:t>27</w:t>
            </w:r>
          </w:p>
        </w:tc>
        <w:tc>
          <w:tcPr>
            <w:tcW w:type="dxa" w:w="1417"/>
          </w:tcPr>
          <w:p>
            <w:r>
              <w:rPr>
                <w:rFonts w:ascii="游明朝" w:hAnsi="游明朝"/>
                <w:sz w:val="16"/>
              </w:rPr>
              <w:t>13</w:t>
            </w:r>
          </w:p>
        </w:tc>
        <w:tc>
          <w:tcPr>
            <w:tcW w:type="dxa" w:w="1417"/>
          </w:tcPr>
          <w:p>
            <w:r>
              <w:rPr>
                <w:rFonts w:ascii="游明朝" w:hAnsi="游明朝"/>
                <w:sz w:val="16"/>
              </w:rPr>
              <w:t>9</w:t>
            </w:r>
          </w:p>
        </w:tc>
        <w:tc>
          <w:tcPr>
            <w:tcW w:type="dxa" w:w="1417"/>
          </w:tcPr>
          <w:p>
            <w:r>
              <w:rPr>
                <w:rFonts w:ascii="游明朝" w:hAnsi="游明朝"/>
                <w:sz w:val="16"/>
              </w:rPr>
              <w:t>5</w:t>
            </w:r>
          </w:p>
        </w:tc>
        <w:tc>
          <w:tcPr>
            <w:tcW w:type="dxa" w:w="1134"/>
          </w:tcPr>
          <w:p>
            <w:r>
              <w:rPr>
                <w:rFonts w:ascii="游明朝" w:hAnsi="游明朝"/>
                <w:sz w:val="16"/>
              </w:rPr>
              <w:t>81.5%</w:t>
            </w:r>
          </w:p>
        </w:tc>
      </w:tr>
      <w:tr>
        <w:tc>
          <w:tcPr>
            <w:tcW w:type="dxa" w:w="850"/>
          </w:tcPr>
          <w:p>
            <w:r>
              <w:rPr>
                <w:rFonts w:ascii="游明朝" w:hAnsi="游明朝"/>
                <w:sz w:val="16"/>
              </w:rPr>
              <w:t>BV</w:t>
            </w:r>
          </w:p>
        </w:tc>
        <w:tc>
          <w:tcPr>
            <w:tcW w:type="dxa" w:w="567"/>
          </w:tcPr>
          <w:p>
            <w:r>
              <w:rPr>
                <w:rFonts w:ascii="游明朝" w:hAnsi="游明朝"/>
                <w:sz w:val="16"/>
              </w:rPr>
              <w:t>11</w:t>
            </w:r>
          </w:p>
        </w:tc>
        <w:tc>
          <w:tcPr>
            <w:tcW w:type="dxa" w:w="1417"/>
          </w:tcPr>
          <w:p>
            <w:r>
              <w:rPr>
                <w:rFonts w:ascii="游明朝" w:hAnsi="游明朝"/>
                <w:sz w:val="16"/>
              </w:rPr>
              <w:t>3</w:t>
            </w:r>
          </w:p>
        </w:tc>
        <w:tc>
          <w:tcPr>
            <w:tcW w:type="dxa" w:w="1417"/>
          </w:tcPr>
          <w:p>
            <w:r>
              <w:rPr>
                <w:rFonts w:ascii="游明朝" w:hAnsi="游明朝"/>
                <w:sz w:val="16"/>
              </w:rPr>
              <w:t>5</w:t>
            </w:r>
          </w:p>
        </w:tc>
        <w:tc>
          <w:tcPr>
            <w:tcW w:type="dxa" w:w="1417"/>
          </w:tcPr>
          <w:p>
            <w:r>
              <w:rPr>
                <w:rFonts w:ascii="游明朝" w:hAnsi="游明朝"/>
                <w:sz w:val="16"/>
              </w:rPr>
              <w:t>3</w:t>
            </w:r>
          </w:p>
        </w:tc>
        <w:tc>
          <w:tcPr>
            <w:tcW w:type="dxa" w:w="1134"/>
          </w:tcPr>
          <w:p>
            <w:r>
              <w:rPr>
                <w:rFonts w:ascii="游明朝" w:hAnsi="游明朝"/>
                <w:sz w:val="16"/>
              </w:rPr>
              <w:t>72.7%</w:t>
            </w:r>
          </w:p>
        </w:tc>
      </w:tr>
      <w:tr>
        <w:tc>
          <w:tcPr>
            <w:tcW w:type="dxa" w:w="850"/>
          </w:tcPr>
          <w:p>
            <w:r>
              <w:rPr>
                <w:rFonts w:ascii="游明朝" w:hAnsi="游明朝"/>
                <w:sz w:val="16"/>
              </w:rPr>
              <w:t>ER</w:t>
            </w:r>
          </w:p>
        </w:tc>
        <w:tc>
          <w:tcPr>
            <w:tcW w:type="dxa" w:w="567"/>
          </w:tcPr>
          <w:p>
            <w:r>
              <w:rPr>
                <w:rFonts w:ascii="游明朝" w:hAnsi="游明朝"/>
                <w:sz w:val="16"/>
              </w:rPr>
              <w:t>3</w:t>
            </w:r>
          </w:p>
        </w:tc>
        <w:tc>
          <w:tcPr>
            <w:tcW w:type="dxa" w:w="1417"/>
          </w:tcPr>
          <w:p>
            <w:r>
              <w:rPr>
                <w:rFonts w:ascii="游明朝" w:hAnsi="游明朝"/>
                <w:sz w:val="16"/>
              </w:rPr>
              <w:t>3</w:t>
            </w:r>
          </w:p>
        </w:tc>
        <w:tc>
          <w:tcPr>
            <w:tcW w:type="dxa" w:w="1417"/>
          </w:tcPr>
          <w:p>
            <w:r>
              <w:rPr>
                <w:rFonts w:ascii="游明朝" w:hAnsi="游明朝"/>
                <w:sz w:val="16"/>
              </w:rPr>
              <w:t>0</w:t>
            </w:r>
          </w:p>
        </w:tc>
        <w:tc>
          <w:tcPr>
            <w:tcW w:type="dxa" w:w="1417"/>
          </w:tcPr>
          <w:p>
            <w:r>
              <w:rPr>
                <w:rFonts w:ascii="游明朝" w:hAnsi="游明朝"/>
                <w:sz w:val="16"/>
              </w:rPr>
              <w:t>0</w:t>
            </w:r>
          </w:p>
        </w:tc>
        <w:tc>
          <w:tcPr>
            <w:tcW w:type="dxa" w:w="1134"/>
          </w:tcPr>
          <w:p>
            <w:r>
              <w:rPr>
                <w:rFonts w:ascii="游明朝" w:hAnsi="游明朝"/>
                <w:sz w:val="16"/>
              </w:rPr>
              <w:t>100.0%</w:t>
            </w:r>
          </w:p>
        </w:tc>
      </w:tr>
      <w:tr>
        <w:tc>
          <w:tcPr>
            <w:tcW w:type="dxa" w:w="850"/>
          </w:tcPr>
          <w:p>
            <w:r>
              <w:rPr>
                <w:rFonts w:ascii="游明朝" w:hAnsi="游明朝"/>
                <w:sz w:val="16"/>
              </w:rPr>
              <w:t>DP</w:t>
            </w:r>
          </w:p>
        </w:tc>
        <w:tc>
          <w:tcPr>
            <w:tcW w:type="dxa" w:w="567"/>
          </w:tcPr>
          <w:p>
            <w:r>
              <w:rPr>
                <w:rFonts w:ascii="游明朝" w:hAnsi="游明朝"/>
                <w:sz w:val="16"/>
              </w:rPr>
              <w:t>3</w:t>
            </w:r>
          </w:p>
        </w:tc>
        <w:tc>
          <w:tcPr>
            <w:tcW w:type="dxa" w:w="1417"/>
          </w:tcPr>
          <w:p>
            <w:r>
              <w:rPr>
                <w:rFonts w:ascii="游明朝" w:hAnsi="游明朝"/>
                <w:sz w:val="16"/>
              </w:rPr>
              <w:t>0</w:t>
            </w:r>
          </w:p>
        </w:tc>
        <w:tc>
          <w:tcPr>
            <w:tcW w:type="dxa" w:w="1417"/>
          </w:tcPr>
          <w:p>
            <w:r>
              <w:rPr>
                <w:rFonts w:ascii="游明朝" w:hAnsi="游明朝"/>
                <w:sz w:val="16"/>
              </w:rPr>
              <w:t>1</w:t>
            </w:r>
          </w:p>
        </w:tc>
        <w:tc>
          <w:tcPr>
            <w:tcW w:type="dxa" w:w="1417"/>
          </w:tcPr>
          <w:p>
            <w:r>
              <w:rPr>
                <w:rFonts w:ascii="游明朝" w:hAnsi="游明朝"/>
                <w:sz w:val="16"/>
              </w:rPr>
              <w:t>2</w:t>
            </w:r>
          </w:p>
        </w:tc>
        <w:tc>
          <w:tcPr>
            <w:tcW w:type="dxa" w:w="1134"/>
          </w:tcPr>
          <w:p>
            <w:r>
              <w:rPr>
                <w:rFonts w:ascii="游明朝" w:hAnsi="游明朝"/>
                <w:sz w:val="16"/>
              </w:rPr>
              <w:t>33.3%</w:t>
            </w:r>
          </w:p>
        </w:tc>
      </w:tr>
      <w:tr>
        <w:tc>
          <w:tcPr>
            <w:tcW w:type="dxa" w:w="850"/>
          </w:tcPr>
          <w:p>
            <w:r>
              <w:rPr>
                <w:rFonts w:ascii="游明朝" w:hAnsi="游明朝"/>
                <w:sz w:val="16"/>
              </w:rPr>
              <w:t>全体</w:t>
            </w:r>
          </w:p>
        </w:tc>
        <w:tc>
          <w:tcPr>
            <w:tcW w:type="dxa" w:w="567"/>
          </w:tcPr>
          <w:p>
            <w:r>
              <w:rPr>
                <w:rFonts w:ascii="游明朝" w:hAnsi="游明朝"/>
                <w:sz w:val="16"/>
              </w:rPr>
              <w:t>99</w:t>
            </w:r>
          </w:p>
        </w:tc>
        <w:tc>
          <w:tcPr>
            <w:tcW w:type="dxa" w:w="1417"/>
          </w:tcPr>
          <w:p>
            <w:r>
              <w:rPr>
                <w:rFonts w:ascii="游明朝" w:hAnsi="游明朝"/>
                <w:sz w:val="16"/>
              </w:rPr>
              <w:t>38</w:t>
            </w:r>
          </w:p>
        </w:tc>
        <w:tc>
          <w:tcPr>
            <w:tcW w:type="dxa" w:w="1417"/>
          </w:tcPr>
          <w:p>
            <w:r>
              <w:rPr>
                <w:rFonts w:ascii="游明朝" w:hAnsi="游明朝"/>
                <w:sz w:val="16"/>
              </w:rPr>
              <w:t>27</w:t>
            </w:r>
          </w:p>
        </w:tc>
        <w:tc>
          <w:tcPr>
            <w:tcW w:type="dxa" w:w="1417"/>
          </w:tcPr>
          <w:p>
            <w:r>
              <w:rPr>
                <w:rFonts w:ascii="游明朝" w:hAnsi="游明朝"/>
                <w:sz w:val="16"/>
              </w:rPr>
              <w:t>34</w:t>
            </w:r>
          </w:p>
        </w:tc>
        <w:tc>
          <w:tcPr>
            <w:tcW w:type="dxa" w:w="1134"/>
          </w:tcPr>
          <w:p>
            <w:r>
              <w:rPr>
                <w:rFonts w:ascii="游明朝" w:hAnsi="游明朝"/>
                <w:sz w:val="16"/>
              </w:rPr>
              <w:t>65.7%</w:t>
            </w:r>
          </w:p>
        </w:tc>
      </w:tr>
    </w:tbl>
    <w:p/>
    <w:tbl>
      <w:tblPr>
        <w:tblStyle w:val="TableGrid"/>
        <w:tblW w:type="auto" w:w="0"/>
        <w:jc w:val="center"/>
        <w:tblLook w:firstColumn="1" w:firstRow="1" w:lastColumn="0" w:lastRow="0" w:noHBand="0" w:noVBand="1" w:val="04A0"/>
      </w:tblPr>
      <w:tblGrid>
        <w:gridCol w:w="3024"/>
        <w:gridCol w:w="3024"/>
        <w:gridCol w:w="3024"/>
      </w:tblGrid>
      <w:tr>
        <w:tc>
          <w:tcPr>
            <w:tcW w:type="dxa" w:w="3402"/>
          </w:tcPr>
          <w:p>
            <w:pPr>
              <w:jc w:val="center"/>
            </w:pPr>
            <w:r>
              <w:rPr>
                <w:rFonts w:ascii="游明朝" w:hAnsi="游明朝"/>
                <w:b/>
                <w:sz w:val="17"/>
              </w:rPr>
              <w:t>領域</w:t>
            </w:r>
          </w:p>
        </w:tc>
        <w:tc>
          <w:tcPr>
            <w:tcW w:type="dxa" w:w="1134"/>
          </w:tcPr>
          <w:p>
            <w:pPr>
              <w:jc w:val="center"/>
            </w:pPr>
            <w:r>
              <w:rPr>
                <w:rFonts w:ascii="游明朝" w:hAnsi="游明朝"/>
                <w:b/>
                <w:sz w:val="17"/>
              </w:rPr>
              <w:t>件数</w:t>
            </w:r>
          </w:p>
        </w:tc>
        <w:tc>
          <w:tcPr>
            <w:tcW w:type="dxa" w:w="1701"/>
          </w:tcPr>
          <w:p>
            <w:pPr>
              <w:jc w:val="center"/>
            </w:pPr>
            <w:r>
              <w:rPr>
                <w:rFonts w:ascii="游明朝" w:hAnsi="游明朝"/>
                <w:b/>
                <w:sz w:val="17"/>
              </w:rPr>
              <w:t>可読率(L1+L2)</w:t>
            </w:r>
          </w:p>
        </w:tc>
      </w:tr>
      <w:tr>
        <w:tc>
          <w:tcPr>
            <w:tcW w:type="dxa" w:w="3402"/>
          </w:tcPr>
          <w:p>
            <w:r>
              <w:rPr>
                <w:rFonts w:ascii="游明朝" w:hAnsi="游明朝"/>
                <w:sz w:val="17"/>
              </w:rPr>
              <w:t>format.cpp（日時書式・バージョン解析）</w:t>
            </w:r>
          </w:p>
        </w:tc>
        <w:tc>
          <w:tcPr>
            <w:tcW w:type="dxa" w:w="1134"/>
          </w:tcPr>
          <w:p>
            <w:r>
              <w:rPr>
                <w:rFonts w:ascii="游明朝" w:hAnsi="游明朝"/>
                <w:sz w:val="17"/>
              </w:rPr>
              <w:t>46</w:t>
            </w:r>
          </w:p>
        </w:tc>
        <w:tc>
          <w:tcPr>
            <w:tcW w:type="dxa" w:w="1701"/>
          </w:tcPr>
          <w:p>
            <w:r>
              <w:rPr>
                <w:rFonts w:ascii="游明朝" w:hAnsi="游明朝"/>
                <w:sz w:val="17"/>
              </w:rPr>
              <w:t>78.3%</w:t>
            </w:r>
          </w:p>
        </w:tc>
      </w:tr>
      <w:tr>
        <w:tc>
          <w:tcPr>
            <w:tcW w:type="dxa" w:w="3402"/>
          </w:tcPr>
          <w:p>
            <w:r>
              <w:rPr>
                <w:rFonts w:ascii="游明朝" w:hAnsi="游明朝"/>
                <w:sz w:val="17"/>
              </w:rPr>
              <w:t>convert_util.cpp（全角半角英数変換）</w:t>
            </w:r>
          </w:p>
        </w:tc>
        <w:tc>
          <w:tcPr>
            <w:tcW w:type="dxa" w:w="1134"/>
          </w:tcPr>
          <w:p>
            <w:r>
              <w:rPr>
                <w:rFonts w:ascii="游明朝" w:hAnsi="游明朝"/>
                <w:sz w:val="17"/>
              </w:rPr>
              <w:t>19</w:t>
            </w:r>
          </w:p>
        </w:tc>
        <w:tc>
          <w:tcPr>
            <w:tcW w:type="dxa" w:w="1701"/>
          </w:tcPr>
          <w:p>
            <w:r>
              <w:rPr>
                <w:rFonts w:ascii="游明朝" w:hAnsi="游明朝"/>
                <w:sz w:val="17"/>
              </w:rPr>
              <w:t>73.7%</w:t>
            </w:r>
          </w:p>
        </w:tc>
      </w:tr>
      <w:tr>
        <w:tc>
          <w:tcPr>
            <w:tcW w:type="dxa" w:w="3402"/>
          </w:tcPr>
          <w:p>
            <w:r>
              <w:rPr>
                <w:rFonts w:ascii="游明朝" w:hAnsi="游明朝"/>
                <w:sz w:val="17"/>
              </w:rPr>
              <w:t>CWordParse.cpp（メールアドレス・文字種判定）</w:t>
            </w:r>
          </w:p>
        </w:tc>
        <w:tc>
          <w:tcPr>
            <w:tcW w:type="dxa" w:w="1134"/>
          </w:tcPr>
          <w:p>
            <w:r>
              <w:rPr>
                <w:rFonts w:ascii="游明朝" w:hAnsi="游明朝"/>
                <w:sz w:val="17"/>
              </w:rPr>
              <w:t>34</w:t>
            </w:r>
          </w:p>
        </w:tc>
        <w:tc>
          <w:tcPr>
            <w:tcW w:type="dxa" w:w="1701"/>
          </w:tcPr>
          <w:p>
            <w:r>
              <w:rPr>
                <w:rFonts w:ascii="游明朝" w:hAnsi="游明朝"/>
                <w:sz w:val="17"/>
              </w:rPr>
              <w:t>41.2%</w:t>
            </w:r>
          </w:p>
        </w:tc>
      </w:tr>
    </w:tbl>
    <w:p/>
    <w:p>
      <w:pPr>
        <w:spacing w:after="80" w:before="0" w:line="320" w:lineRule="exact"/>
      </w:pPr>
      <w:r>
        <w:rPr>
          <w:rFonts w:ascii="游明朝" w:hAnsi="游明朝"/>
          <w:b w:val="0"/>
          <w:i w:val="0"/>
          <w:sz w:val="20"/>
        </w:rPr>
        <w:t>全体の約2/3（65.7%）がコード非専門者にも可読であった。一般に理解しやすいドメイン（日時書式、全角半角変換）では可読率が高く、エディタ固有のロジック（文字種結合判定のECharKind列挙型やマッピング規則等）を扱う関数では可読率が低い。なお、L3に分類された34件のうち一部は、description文の改善（例: 「ラテン→CSYMマッピング」を「ラテン系文字がアルファベットと同種として扱われること」に言い換え）によりL2に引き上げ可能と考えられる。</w:t>
      </w:r>
    </w:p>
    <w:p>
      <w:pPr>
        <w:spacing w:after="80" w:before="0" w:line="320" w:lineRule="exact"/>
      </w:pPr>
      <w:r>
        <w:rPr>
          <w:rFonts w:ascii="游明朝" w:hAnsi="游明朝"/>
          <w:b w:val="0"/>
          <w:i w:val="0"/>
          <w:sz w:val="20"/>
        </w:rPr>
        <w:t>本分析は著者による分類であり、実際の非開発者による理解度評価は3.6節の制約として留意する必要がある。</w:t>
      </w:r>
    </w:p>
    <w:p>
      <w:pPr>
        <w:pStyle w:val="Heading2"/>
        <w:spacing w:before="200" w:after="80"/>
      </w:pPr>
      <w:r>
        <w:rPr>
          <w:rFonts w:ascii="游明朝" w:hAnsi="游明朝"/>
          <w:color w:val="000000"/>
          <w:sz w:val="26"/>
        </w:rPr>
        <w:t>4. 結論</w:t>
      </w:r>
    </w:p>
    <w:p>
      <w:pPr>
        <w:spacing w:before="160" w:after="40" w:line="320" w:lineRule="exact"/>
      </w:pPr>
      <w:r>
        <w:rPr>
          <w:rFonts w:ascii="游明朝" w:hAnsi="游明朝"/>
          <w:b/>
          <w:sz w:val="21"/>
        </w:rPr>
        <w:t>4.1 まとめ</w:t>
      </w:r>
    </w:p>
    <w:p>
      <w:pPr>
        <w:spacing w:after="80" w:before="0" w:line="320" w:lineRule="exact"/>
      </w:pPr>
      <w:r>
        <w:rPr>
          <w:rFonts w:ascii="游明朝" w:hAnsi="游明朝"/>
          <w:b w:val="0"/>
          <w:i w:val="0"/>
          <w:sz w:val="20"/>
        </w:rPr>
        <w:t>本研究では、ソースコードの静的解析からテスト要求モデル（TRM）をYAML形式で生成し、TRMを入力として大規模言語モデルに単体テストを生成させる手法を提案・実証した。OSSのC++コード8関数（約385行）に適用した結果:</w:t>
      </w:r>
    </w:p>
    <w:p>
      <w:pPr>
        <w:spacing w:after="80" w:before="0" w:line="320" w:lineRule="exact"/>
      </w:pPr>
      <w:r>
        <w:rPr>
          <w:rFonts w:ascii="游明朝" w:hAnsi="游明朝"/>
          <w:b/>
          <w:sz w:val="20"/>
        </w:rPr>
        <w:t xml:space="preserve">1. TRM生成: </w:t>
      </w:r>
      <w:r>
        <w:rPr>
          <w:rFonts w:ascii="游明朝" w:hAnsi="游明朝"/>
          <w:b w:val="0"/>
          <w:sz w:val="20"/>
        </w:rPr>
        <w:t>5種別99件のテスト要求を構造化定義。分岐密度に応じた適切な粒度（平均3.9行/要求）で品質要求を抽出し、そのうち65.7%がコード非専門者にも可読であった。</w:t>
      </w:r>
    </w:p>
    <w:p>
      <w:pPr>
        <w:spacing w:after="80" w:before="0" w:line="320" w:lineRule="exact"/>
      </w:pPr>
      <w:r>
        <w:rPr>
          <w:rFonts w:ascii="游明朝" w:hAnsi="游明朝"/>
          <w:b/>
          <w:sz w:val="20"/>
        </w:rPr>
        <w:t xml:space="preserve">2. テスト生成: </w:t>
      </w:r>
      <w:r>
        <w:rPr>
          <w:rFonts w:ascii="游明朝" w:hAnsi="游明朝"/>
          <w:b w:val="0"/>
          <w:sz w:val="20"/>
        </w:rPr>
        <w:t>TRMからの145件のテストが全要求をカバー。既存テストと比較して約3.2倍のテストケースを体系的に生成した。ただし、既存テストは本手法と異なる目的で作成されたものであり、件数の直接比較には留意が必要である。</w:t>
      </w:r>
    </w:p>
    <w:p>
      <w:pPr>
        <w:spacing w:after="80" w:before="0" w:line="320" w:lineRule="exact"/>
      </w:pPr>
      <w:r>
        <w:rPr>
          <w:rFonts w:ascii="游明朝" w:hAnsi="游明朝"/>
          <w:b/>
          <w:sz w:val="20"/>
        </w:rPr>
        <w:t xml:space="preserve">3. 実行精度: </w:t>
      </w:r>
      <w:r>
        <w:rPr>
          <w:rFonts w:ascii="游明朝" w:hAnsi="游明朝"/>
          <w:b w:val="0"/>
          <w:sz w:val="20"/>
        </w:rPr>
        <w:t>初回PASS率91.7%。FAIL 12件は全てLLMの期待値推論誤り（対象関数バグ0件）。TRM IDにより原因を5分類に即時特定し、修正後100% PASS。</w:t>
      </w:r>
    </w:p>
    <w:p>
      <w:pPr>
        <w:spacing w:after="80" w:before="0" w:line="320" w:lineRule="exact"/>
      </w:pPr>
      <w:r>
        <w:rPr>
          <w:rFonts w:ascii="游明朝" w:hAnsi="游明朝"/>
          <w:b/>
          <w:sz w:val="20"/>
        </w:rPr>
        <w:t xml:space="preserve">4. 品質ギャップ発見: </w:t>
      </w:r>
      <w:r>
        <w:rPr>
          <w:rFonts w:ascii="游明朝" w:hAnsi="游明朝"/>
          <w:b w:val="0"/>
          <w:sz w:val="20"/>
        </w:rPr>
        <w:t>既存テストの未カバー要求を推定61件（61.6%）、種別ごとに特定した。特にDP種別は100%未カバーであり、TRMによる構造化された品質ギャップの可視化が有効に機能した。</w:t>
      </w:r>
    </w:p>
    <w:p>
      <w:pPr>
        <w:spacing w:after="80" w:before="0" w:line="320" w:lineRule="exact"/>
      </w:pPr>
      <w:r>
        <w:rPr>
          <w:rFonts w:ascii="游明朝" w:hAnsi="游明朝"/>
          <w:b w:val="0"/>
          <w:i w:val="0"/>
          <w:sz w:val="20"/>
        </w:rPr>
        <w:t>TRMの導入により、テスト設計根拠の明示（P1）、網羅性の事前定量管理（P2）、テスト失敗時の構造的原因分類（P3）を実現した。</w:t>
      </w:r>
    </w:p>
    <w:p>
      <w:pPr>
        <w:spacing w:before="160" w:after="40" w:line="320" w:lineRule="exact"/>
      </w:pPr>
      <w:r>
        <w:rPr>
          <w:rFonts w:ascii="游明朝" w:hAnsi="游明朝"/>
          <w:b/>
          <w:sz w:val="21"/>
        </w:rPr>
        <w:t>4.2 今後の課題</w:t>
      </w:r>
    </w:p>
    <w:p>
      <w:pPr>
        <w:spacing w:after="80" w:before="0" w:line="320" w:lineRule="exact"/>
      </w:pPr>
      <w:r>
        <w:rPr>
          <w:rFonts w:ascii="游明朝" w:hAnsi="游明朝"/>
          <w:b w:val="0"/>
          <w:i w:val="0"/>
          <w:sz w:val="20"/>
        </w:rPr>
        <w:t>本実験は純粋関数8関数に限定されており、以下の課題が残る。</w:t>
      </w:r>
    </w:p>
    <w:p>
      <w:pPr>
        <w:spacing w:after="80" w:before="0" w:line="320" w:lineRule="exact"/>
      </w:pPr>
      <w:r>
        <w:rPr>
          <w:rFonts w:ascii="游明朝" w:hAnsi="游明朝"/>
          <w:b/>
          <w:sz w:val="20"/>
        </w:rPr>
        <w:t xml:space="preserve">(1) 副作用関数への拡張: </w:t>
      </w:r>
      <w:r>
        <w:rPr>
          <w:rFonts w:ascii="游明朝" w:hAnsi="游明朝"/>
          <w:b w:val="0"/>
          <w:sz w:val="20"/>
        </w:rPr>
        <w:t>本実験の対象は純粋関数に限定されており、ER/DPが計6件と少ない。モック・スタブを要する関数でのTRM生成ではER/DP比率の増加が予測され、TRMスキーマの拡張（モック条件の記述等）が必要である。</w:t>
      </w:r>
    </w:p>
    <w:p>
      <w:pPr>
        <w:spacing w:after="80" w:before="0" w:line="320" w:lineRule="exact"/>
      </w:pPr>
      <w:r>
        <w:rPr>
          <w:rFonts w:ascii="游明朝" w:hAnsi="游明朝"/>
          <w:b/>
          <w:sz w:val="20"/>
        </w:rPr>
        <w:t xml:space="preserve">(2) コードカバレッジとの相関分析: </w:t>
      </w:r>
      <w:r>
        <w:rPr>
          <w:rFonts w:ascii="游明朝" w:hAnsi="游明朝"/>
          <w:b w:val="0"/>
          <w:sz w:val="20"/>
        </w:rPr>
        <w:t>TRM要求カバー率100%が実際のC0/C1カバレッジとどう対応するかは未検証であり、両指標の相関分析によりTRMの品質保証能力の定量的裏付けが必要である。</w:t>
      </w:r>
    </w:p>
    <w:p>
      <w:pPr>
        <w:spacing w:after="80" w:before="0" w:line="320" w:lineRule="exact"/>
      </w:pPr>
      <w:r>
        <w:rPr>
          <w:rFonts w:ascii="游明朝" w:hAnsi="游明朝"/>
          <w:b/>
          <w:sz w:val="20"/>
        </w:rPr>
        <w:t xml:space="preserve">(3) 可読性の被験者評価: </w:t>
      </w:r>
      <w:r>
        <w:rPr>
          <w:rFonts w:ascii="游明朝" w:hAnsi="游明朝"/>
          <w:b w:val="0"/>
          <w:sz w:val="20"/>
        </w:rPr>
        <w:t>本研究の可読率65.7%は著者による分類であり、実際の非開発者（QAエンジニア、プロジェクトマネージャー等）による理解度評価実験が必要である。</w:t>
      </w:r>
    </w:p>
    <w:p>
      <w:pPr>
        <w:spacing w:after="80" w:before="0" w:line="320" w:lineRule="exact"/>
      </w:pPr>
      <w:r>
        <w:rPr>
          <w:rFonts w:ascii="游明朝" w:hAnsi="游明朝"/>
          <w:b/>
          <w:sz w:val="20"/>
        </w:rPr>
        <w:t xml:space="preserve">(4) 他言語・他プロジェクトでの再現実験: </w:t>
      </w:r>
      <w:r>
        <w:rPr>
          <w:rFonts w:ascii="游明朝" w:hAnsi="游明朝"/>
          <w:b w:val="0"/>
          <w:sz w:val="20"/>
        </w:rPr>
        <w:t>本実験はC++の1プロジェクト（sakura-editor）に限定されている。TRMの5種別体系は言語非依存に設計されているが、Java/Python等の他言語やWebアプリケーション等の異なるドメインでの再現実験により一般化可能性を検証する必要がある。</w:t>
      </w:r>
    </w:p>
    <w:p>
      <w:pPr>
        <w:spacing w:after="40" w:before="0" w:line="320" w:lineRule="exact"/>
      </w:pPr>
      <w:r>
        <w:rPr>
          <w:rFonts w:ascii="游明朝" w:hAnsi="游明朝"/>
          <w:b w:val="0"/>
          <w:i w:val="0"/>
          <w:sz w:val="8"/>
        </w:rPr>
      </w:r>
    </w:p>
    <w:p>
      <w:pPr>
        <w:pStyle w:val="Heading2"/>
        <w:spacing w:before="200" w:after="80"/>
      </w:pPr>
      <w:r>
        <w:rPr>
          <w:rFonts w:ascii="游明朝" w:hAnsi="游明朝"/>
          <w:color w:val="000000"/>
          <w:sz w:val="26"/>
        </w:rPr>
        <w:t>参考文献</w:t>
      </w:r>
    </w:p>
    <w:p>
      <w:pPr>
        <w:spacing w:after="60" w:before="0" w:line="320" w:lineRule="exact"/>
      </w:pPr>
      <w:r>
        <w:rPr>
          <w:rFonts w:ascii="游明朝" w:hAnsi="游明朝"/>
          <w:b w:val="0"/>
          <w:i w:val="0"/>
          <w:sz w:val="16"/>
        </w:rPr>
        <w:t>[1] C. Lemieux, J. P. Inala, S. K. Lahiri, and S. Sen, "CodaMOSA: Escaping Coverage Plateaus in Test Generation with Pre-trained Large Language Models," in Proc. ICSE 2023, pp. 919-931, 2023.</w:t>
        <w:br/>
        <w:t>https://dl.acm.org/doi/10.1109/icse48619.2023.00085</w:t>
      </w:r>
    </w:p>
    <w:p>
      <w:pPr>
        <w:spacing w:after="60" w:before="0" w:line="320" w:lineRule="exact"/>
      </w:pPr>
      <w:r>
        <w:rPr>
          <w:rFonts w:ascii="游明朝" w:hAnsi="游明朝"/>
          <w:b w:val="0"/>
          <w:i w:val="0"/>
          <w:sz w:val="16"/>
        </w:rPr>
        <w:t>[2] Y. Chen et al., "ChatUniTest: A Framework for LLM-Based Test Generation," in Companion Proc. FSE 2024, ACM, 2024.</w:t>
        <w:br/>
        <w:t>https://dl.acm.org/doi/abs/10.1145/3663529.3663801</w:t>
      </w:r>
    </w:p>
    <w:p>
      <w:pPr>
        <w:spacing w:after="60" w:before="0" w:line="320" w:lineRule="exact"/>
      </w:pPr>
      <w:r>
        <w:rPr>
          <w:rFonts w:ascii="游明朝" w:hAnsi="游明朝"/>
          <w:b w:val="0"/>
          <w:i w:val="0"/>
          <w:sz w:val="16"/>
        </w:rPr>
        <w:t>[3] M. Schafer et al., "An Empirical Evaluation of Using Large Language Models for Automated Unit Test Generation," IEEE Transactions on Software Engineering, vol. 50, 2024.</w:t>
        <w:br/>
        <w:t>https://ieeexplore.ieee.org/document/10329992/</w:t>
      </w:r>
    </w:p>
    <w:p>
      <w:pPr>
        <w:spacing w:after="60" w:before="0" w:line="320" w:lineRule="exact"/>
      </w:pPr>
      <w:r>
        <w:rPr>
          <w:rFonts w:ascii="游明朝" w:hAnsi="游明朝"/>
          <w:b w:val="0"/>
          <w:i w:val="0"/>
          <w:sz w:val="16"/>
        </w:rPr>
        <w:t>[4] J. A. Ramos, E. M. Bader, J. Bader, and S. Iyer, "CoverUp: Coverage-Guided LLM-Based Test Generation," arXiv:2403.16218, 2024.</w:t>
        <w:br/>
        <w:t>https://arxiv.org/abs/2403.16218</w:t>
      </w:r>
    </w:p>
    <w:p>
      <w:pPr>
        <w:spacing w:after="60" w:before="0" w:line="320" w:lineRule="exact"/>
      </w:pPr>
      <w:r>
        <w:rPr>
          <w:rFonts w:ascii="游明朝" w:hAnsi="游明朝"/>
          <w:b w:val="0"/>
          <w:i w:val="0"/>
          <w:sz w:val="16"/>
        </w:rPr>
        <w:t>[5] Qodo (CodiumAI), "Qodo-Cover: An AI-Powered Tool for Automated Test Generation and Code Coverage Enhancement," GitHub, 2024.</w:t>
        <w:br/>
        <w:t>https://github.com/Codium-ai/cover-agent</w:t>
      </w:r>
    </w:p>
    <w:p>
      <w:pPr>
        <w:spacing w:after="60" w:before="0" w:line="320" w:lineRule="exact"/>
      </w:pPr>
      <w:r>
        <w:rPr>
          <w:rFonts w:ascii="游明朝" w:hAnsi="游明朝"/>
          <w:b w:val="0"/>
          <w:i w:val="0"/>
          <w:sz w:val="16"/>
        </w:rPr>
        <w:t>[6] "Enhancing LLM-based Test Generation for Hard-to-Cover Branches via Program Analysis (TELPA)," arXiv:2404.04966, ACM TOSEM, 2024.</w:t>
        <w:br/>
        <w:t>https://dl.acm.org/doi/10.1145/3748505</w:t>
      </w:r>
    </w:p>
    <w:p>
      <w:pPr>
        <w:spacing w:after="60" w:before="0" w:line="320" w:lineRule="exact"/>
      </w:pPr>
      <w:r>
        <w:rPr>
          <w:rFonts w:ascii="游明朝" w:hAnsi="游明朝"/>
          <w:b w:val="0"/>
          <w:i w:val="0"/>
          <w:sz w:val="16"/>
        </w:rPr>
        <w:t>[7] B. Chu, Y. Feng, K. Liu, Z. Guo, Y. Zhang, H. Shi, Z. Nan, and B. Xu, "Large Language Models for Unit Test Generation: Achievements, Challenges, and the Road Ahead," arXiv:2511.21382, 2025.</w:t>
        <w:br/>
        <w:t>https://arxiv.org/abs/2511.21382</w:t>
      </w:r>
    </w:p>
    <w:p>
      <w:pPr>
        <w:spacing w:after="60" w:before="0" w:line="320" w:lineRule="exact"/>
      </w:pPr>
      <w:r>
        <w:rPr>
          <w:rFonts w:ascii="游明朝" w:hAnsi="游明朝"/>
          <w:b w:val="0"/>
          <w:i w:val="0"/>
          <w:sz w:val="16"/>
        </w:rPr>
        <w:t>[8] N. S. Mathews and M. Nagappan, "Design choices made by LLM-based test generators prevent them from finding bugs," arXiv:2412.14137, 2024.</w:t>
        <w:br/>
        <w:t>https://arxiv.org/abs/2412.14137</w:t>
      </w:r>
    </w:p>
    <w:p>
      <w:pPr>
        <w:spacing w:after="60" w:before="0" w:line="320" w:lineRule="exact"/>
      </w:pPr>
      <w:r>
        <w:rPr>
          <w:rFonts w:ascii="游明朝" w:hAnsi="游明朝"/>
          <w:b w:val="0"/>
          <w:i w:val="0"/>
          <w:sz w:val="16"/>
        </w:rPr>
        <w:t>[9] "Test smells in LLM-Generated Unit Tests," arXiv:2410.10628, 2024.</w:t>
        <w:br/>
        <w:t>https://arxiv.org/abs/2410.10628</w:t>
      </w:r>
    </w:p>
    <w:p>
      <w:pPr>
        <w:spacing w:after="60" w:before="0" w:line="320" w:lineRule="exact"/>
      </w:pPr>
      <w:r>
        <w:rPr>
          <w:rFonts w:ascii="游明朝" w:hAnsi="游明朝"/>
          <w:b w:val="0"/>
          <w:i w:val="0"/>
          <w:sz w:val="16"/>
        </w:rPr>
        <w:t>[10] "Do LLMs generate test oracles that capture the actual or the expected program behaviour?" arXiv:2410.21136, 2024.</w:t>
        <w:br/>
        <w:t>https://arxiv.org/abs/2410.21136</w:t>
      </w:r>
    </w:p>
    <w:p>
      <w:pPr>
        <w:spacing w:after="60" w:before="0" w:line="320" w:lineRule="exact"/>
      </w:pPr>
      <w:r>
        <w:rPr>
          <w:rFonts w:ascii="游明朝" w:hAnsi="游明朝"/>
          <w:b w:val="0"/>
          <w:i w:val="0"/>
          <w:sz w:val="16"/>
        </w:rPr>
        <w:t>[11] G. Adzic, Specification by Example: How Successful Teams Deliver the Right Software, Manning, 2011.</w:t>
      </w:r>
    </w:p>
    <w:p>
      <w:pPr>
        <w:spacing w:after="60" w:before="0" w:line="320" w:lineRule="exact"/>
      </w:pPr>
      <w:r>
        <w:rPr>
          <w:rFonts w:ascii="游明朝" w:hAnsi="游明朝"/>
          <w:b w:val="0"/>
          <w:i w:val="0"/>
          <w:sz w:val="16"/>
        </w:rPr>
        <w:t>[12] "Multi-Step Generation of Test Specifications using Large Language Models," in Proc. ACL 2025 Industry Track, 2025.</w:t>
        <w:br/>
        <w:t>https://aclanthology.org/2025.acl-industry.11.pdf</w:t>
      </w:r>
    </w:p>
    <w:p>
      <w:pPr>
        <w:spacing w:after="60" w:before="0" w:line="320" w:lineRule="exact"/>
      </w:pPr>
      <w:r>
        <w:rPr>
          <w:rFonts w:ascii="游明朝" w:hAnsi="游明朝"/>
          <w:b w:val="0"/>
          <w:i w:val="0"/>
          <w:sz w:val="16"/>
        </w:rPr>
        <w:t>[13] C. Wiecher et al., "Model-based analysis and specification of functional requirements and tests for complex automotive systems," Systems Engineering, Wiley, 2024.</w:t>
        <w:br/>
        <w:t>https://incose.onlinelibrary.wiley.com/doi/full/10.1002/sys.21748</w:t>
      </w:r>
    </w:p>
    <w:p>
      <w:pPr>
        <w:spacing w:after="60" w:before="0" w:line="320" w:lineRule="exact"/>
      </w:pPr>
      <w:r>
        <w:rPr>
          <w:rFonts w:ascii="游明朝" w:hAnsi="游明朝"/>
          <w:b w:val="0"/>
          <w:i w:val="0"/>
          <w:sz w:val="16"/>
        </w:rPr>
        <w:t>[14] "Static Analysis as a Feedback Loop: Enhancing LLM-Generated Code Beyond Correctness," arXiv:2508.14419, 2025.</w:t>
        <w:br/>
        <w:t>https://arxiv.org/abs/2508.14419</w:t>
      </w:r>
    </w:p>
    <w:p>
      <w:pPr>
        <w:spacing w:after="60" w:before="0" w:line="320" w:lineRule="exact"/>
      </w:pPr>
      <w:r>
        <w:rPr>
          <w:rFonts w:ascii="游明朝" w:hAnsi="游明朝"/>
          <w:b w:val="0"/>
          <w:i w:val="0"/>
          <w:sz w:val="16"/>
        </w:rPr>
        <w:t>[15] 「生成AIを活用したテストパターンマトリックスを用いたテスト生成」, SQiP 2024 一般発表 A4-1, 2024.</w:t>
        <w:br/>
        <w:t>https://www.juse.jp/sqip/symposium/2024/timetable/files/A4-1_ronbun.pdf</w:t>
      </w:r>
    </w:p>
    <w:p>
      <w:pPr>
        <w:spacing w:after="60" w:before="0" w:line="320" w:lineRule="exact"/>
      </w:pPr>
      <w:r>
        <w:rPr>
          <w:rFonts w:ascii="游明朝" w:hAnsi="游明朝"/>
          <w:b w:val="0"/>
          <w:i w:val="0"/>
          <w:sz w:val="16"/>
        </w:rPr>
        <w:t>[16] 産業技術総合研究所 (AIST), 「生成AI品質マネジメントガイドライン第1版」, Rev. 1.0.0, 2025年5月.</w:t>
        <w:br/>
        <w:t>https://www.digiarc.aist.go.jp/publication/aiqm/genaiqm-guidelines-v1.html</w:t>
      </w:r>
    </w:p>
    <w:p>
      <w:pPr>
        <w:spacing w:after="60" w:before="0" w:line="320" w:lineRule="exact"/>
      </w:pPr>
      <w:r>
        <w:rPr>
          <w:rFonts w:ascii="游明朝" w:hAnsi="游明朝"/>
          <w:b w:val="0"/>
          <w:i w:val="0"/>
          <w:sz w:val="16"/>
        </w:rPr>
        <w:t>[17] IPA 独立行政法人情報処理推進機構, 「テキスト生成AIの導入・運用ガイドライン」, 2024年7月.</w:t>
        <w:br/>
        <w:t>https://www.ipa.go.jp/jinzai/ics/core_human_resource/final_project/2024/generative-ai-guideline.html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0" w:lineRule="exact"/>
    </w:pPr>
    <w:rPr>
      <w:rFonts w:ascii="游明朝" w:hAnsi="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