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7AD11" w14:textId="77777777">
      <w:pPr>
        <w:spacing w:before="2200" w:after="0"/>
        <w:ind w:firstLine="0"/>
        <w:jc w:val="center"/>
      </w:pPr>
      <w:r>
        <w:rPr>
          <w:b/>
          <w:sz w:val="44"/>
        </w:rPr>
        <w:t>最优化理论与算法课程报告</w:t>
      </w:r>
    </w:p>
    <w:p w14:paraId="6C9726BC" w14:textId="77777777">
      <w:pPr>
        <w:spacing w:before="900" w:after="200"/>
        <w:ind w:firstLine="0"/>
        <w:jc w:val="center"/>
      </w:pPr>
      <w:r>
        <w:rPr>
          <w:b/>
          <w:sz w:val="36"/>
        </w:rPr>
        <w:t>基于</w:t>
      </w:r>
      <w:r>
        <w:rPr>
          <w:b/>
          <w:sz w:val="36"/>
        </w:rPr>
        <w:t xml:space="preserve"> EWMA </w:t>
      </w:r>
      <w:r>
        <w:rPr>
          <w:b/>
          <w:sz w:val="36"/>
        </w:rPr>
        <w:t>半协方差的风险平价资产配置优化</w:t>
      </w:r>
      <w:r>
        <w:rPr>
          <w:b/>
          <w:sz w:val="36"/>
        </w:rPr>
        <w:br/>
        <w:t>——</w:t>
      </w:r>
      <w:r>
        <w:rPr>
          <w:b/>
          <w:sz w:val="36"/>
        </w:rPr>
        <w:t>凸重构、阻尼牛顿法与实证分析</w:t>
      </w:r>
    </w:p>
    <w:p w14:paraId="7DB5F806" w14:textId="77777777">
      <w:pPr>
        <w:spacing w:before="360" w:after="0"/>
        <w:ind w:firstLine="0"/>
        <w:jc w:val="center"/>
      </w:pPr>
      <w:r>
        <w:rPr>
          <w:sz w:val="28"/>
        </w:rPr>
        <w:t>课程名称：最优化理论与算法</w:t>
      </w:r>
    </w:p>
    <w:p w14:paraId="48F8F697" w14:textId="77777777">
      <w:pPr>
        <w:spacing w:before="360" w:after="0"/>
        <w:ind w:firstLine="0"/>
        <w:jc w:val="center"/>
      </w:pPr>
      <w:r>
        <w:rPr>
          <w:sz w:val="28"/>
        </w:rPr>
        <w:t>姓名：程哲</w:t>
      </w:r>
    </w:p>
    <w:p w14:paraId="1218D4CD" w14:textId="77777777">
      <w:pPr>
        <w:spacing w:before="360" w:after="0"/>
        <w:ind w:firstLine="0"/>
        <w:jc w:val="center"/>
      </w:pPr>
      <w:r>
        <w:rPr>
          <w:sz w:val="28"/>
        </w:rPr>
        <w:t>学号：</w:t>
      </w:r>
      <w:r>
        <w:rPr>
          <w:sz w:val="28"/>
        </w:rPr>
        <w:t>2025212591</w:t>
      </w:r>
    </w:p>
    <w:p w14:paraId="5DA87D0F" w14:textId="77777777">
      <w:pPr>
        <w:spacing w:before="1100" w:after="0"/>
        <w:ind w:firstLine="0"/>
        <w:jc w:val="center"/>
      </w:pPr>
      <w:r>
        <w:rPr>
          <w:sz w:val="24"/>
        </w:rPr>
        <w:t>2026</w:t>
      </w:r>
      <w:r>
        <w:rPr>
          <w:sz w:val="24"/>
        </w:rPr>
        <w:t>年</w:t>
      </w:r>
      <w:r>
        <w:rPr>
          <w:sz w:val="24"/>
        </w:rPr>
        <w:t>7</w:t>
      </w:r>
      <w:r>
        <w:rPr>
          <w:sz w:val="24"/>
        </w:rPr>
        <w:t>月</w:t>
      </w:r>
    </w:p>
    <w:p w14:paraId="23D29852" w14:textId="77777777">
      <w:pPr>
        <w:sectPr>
          <w:pgSz w:w="11909" w:h="16834"/>
          <w:pgMar w:top="1368" w:right="1368" w:bottom="1253" w:left="1526" w:header="648" w:footer="648" w:gutter="0"/>
          <w:cols w:space="720"/>
          <w:docGrid w:linePitch="360"/>
        </w:sectPr>
      </w:pPr>
    </w:p>
    <w:p w14:paraId="612A3C88" w14:textId="77777777">
      <w:pPr>
        <w:spacing w:after="280"/>
        <w:ind w:firstLine="0"/>
        <w:jc w:val="center"/>
      </w:pPr>
      <w:r>
        <w:rPr>
          <w:b/>
          <w:sz w:val="32"/>
        </w:rPr>
        <w:lastRenderedPageBreak/>
        <w:t>摘　要</w:t>
      </w:r>
    </w:p>
    <w:p w14:paraId="2C6116D5" w14:textId="77777777">
      <w:pPr>
        <w:jc w:val="both"/>
      </w:pPr>
      <w:r>
        <w:t>风险平价通过配置风险而非直接配置资本，在缺少稳定收益预测时为多资产组合提供一种可解释的分散化方法。本文以等风险贡献（</w:t>
      </w:r>
      <w:r>
        <w:t>ERC</w:t>
      </w:r>
      <w:r>
        <w:t>）为研究对象，首先依据</w:t>
      </w:r>
      <w:r>
        <w:t xml:space="preserve"> Euler </w:t>
      </w:r>
      <w:r>
        <w:t>分解建立资产风险贡献，并将风险预算方程重构为正权重域上的对数障碍凸优化问题；随后推导解析梯度、</w:t>
      </w:r>
      <w:r>
        <w:t xml:space="preserve">Hessian </w:t>
      </w:r>
      <w:r>
        <w:t>与</w:t>
      </w:r>
      <w:r>
        <w:t xml:space="preserve"> KKT </w:t>
      </w:r>
      <w:r>
        <w:t>条件，说明最优解的唯一性以及凸模型与目标风险贡献之间的等价关系。在算法层面，本文实现带正权重可行步长和</w:t>
      </w:r>
      <w:r>
        <w:t xml:space="preserve"> Armijo </w:t>
      </w:r>
      <w:r>
        <w:t>回溯的阻尼牛顿法，并以最大绝对风险贡献偏差不超过</w:t>
      </w:r>
      <w:r>
        <w:t xml:space="preserve"> 10⁻⁶ </w:t>
      </w:r>
      <w:r>
        <w:t>作为独立验收标准。</w:t>
      </w:r>
      <w:r>
        <w:t xml:space="preserve">148 </w:t>
      </w:r>
      <w:r>
        <w:t>个滚动</w:t>
      </w:r>
      <w:r>
        <w:t xml:space="preserve"> EWMA </w:t>
      </w:r>
      <w:r>
        <w:t>半协方差矩阵上的数值实验表明，阻尼牛顿法中位迭代次数为</w:t>
      </w:r>
      <w:r>
        <w:t xml:space="preserve"> 8</w:t>
      </w:r>
      <w:r>
        <w:t>，中位风险贡献误差为</w:t>
      </w:r>
      <w:r>
        <w:t xml:space="preserve"> 6.95e-13</w:t>
      </w:r>
      <w:r>
        <w:t>，在精度和迭代效率上优于本文采用的通用算法基准。基于</w:t>
      </w:r>
      <w:r>
        <w:t xml:space="preserve"> 9 </w:t>
      </w:r>
      <w:r>
        <w:t>类</w:t>
      </w:r>
      <w:r>
        <w:t xml:space="preserve"> ETF </w:t>
      </w:r>
      <w:r>
        <w:t>或指数代理资产的样本外检验显示，风险平价组合年化收益为</w:t>
      </w:r>
      <w:r>
        <w:t xml:space="preserve"> 8.20%</w:t>
      </w:r>
      <w:r>
        <w:t>、年化波动率为</w:t>
      </w:r>
      <w:r>
        <w:t xml:space="preserve"> 4.21%</w:t>
      </w:r>
      <w:r>
        <w:t>、夏普比率为</w:t>
      </w:r>
      <w:r>
        <w:t xml:space="preserve"> 1.89</w:t>
      </w:r>
      <w:r>
        <w:t>、最大回撤为</w:t>
      </w:r>
      <w:r>
        <w:t xml:space="preserve"> -3.41%</w:t>
      </w:r>
      <w:r>
        <w:t>。结果表明，其主要价值在于降低波动和回撤，而非保证最高绝对收益。最后，非等额风险预算实验验证了同一凸模型对一般风险预算的推广能力。</w:t>
      </w:r>
    </w:p>
    <w:p w14:paraId="23B5B2A9" w14:textId="77777777">
      <w:pPr>
        <w:spacing w:before="240"/>
        <w:ind w:firstLine="0"/>
      </w:pPr>
      <w:r>
        <w:rPr>
          <w:b/>
        </w:rPr>
        <w:t>关键词：</w:t>
      </w:r>
      <w:r>
        <w:t>风险平价；风险预算；凸优化；阻尼牛顿法；资产配置</w:t>
      </w:r>
    </w:p>
    <w:p w14:paraId="0C93C99A" w14:textId="77777777">
      <w:r>
        <w:br w:type="page"/>
      </w:r>
    </w:p>
    <w:p w14:paraId="1CA9C202" w14:textId="77777777">
      <w:pPr>
        <w:spacing w:after="280"/>
        <w:ind w:firstLine="0"/>
        <w:jc w:val="center"/>
      </w:pPr>
      <w:r>
        <w:rPr>
          <w:b/>
          <w:sz w:val="32"/>
        </w:rPr>
        <w:lastRenderedPageBreak/>
        <w:t>目　录</w:t>
      </w:r>
    </w:p>
    <w:p w14:paraId="406183F9" w14:textId="3CF8C3CB">
      <w:pPr>
        <w:pStyle w:val="TOC1"/>
        <w:tabs>
          <w:tab w:val="right" w:leader="dot" w:pos="9005"/>
        </w:tabs>
        <w:rPr>
          <w:rFonts w:hint="eastAsia"/>
          <w:noProof/>
          <w:kern w:val="2"/>
          <w:szCs w:val="24"/>
          <w:lang w:eastAsia="zh-CN"/>
          <w14:ligatures w14:val="standardContextual"/>
        </w:rPr>
      </w:pPr>
      <w:r>
        <w:fldChar w:fldCharType="begin"/>
      </w:r>
      <w:r>
        <w:instrText xml:space="preserve"> TOC \o "1-1" \h \z \u </w:instrText>
      </w:r>
      <w:r>
        <w:fldChar w:fldCharType="separate"/>
      </w:r>
      <w:hyperlink w:anchor="_Toc235027240" w:history="1">
        <w:r>
          <w:rPr>
            <w:rStyle w:val="aff9"/>
            <w:noProof/>
          </w:rPr>
          <w:t>一、引言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_Toc235027240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810AD5D" w14:textId="6BC30841">
      <w:pPr>
        <w:pStyle w:val="TOC1"/>
        <w:tabs>
          <w:tab w:val="right" w:leader="dot" w:pos="9005"/>
        </w:tabs>
        <w:rPr>
          <w:rFonts w:hint="eastAsia"/>
          <w:noProof/>
          <w:kern w:val="2"/>
          <w:szCs w:val="24"/>
          <w:lang w:eastAsia="zh-CN"/>
          <w14:ligatures w14:val="standardContextual"/>
        </w:rPr>
      </w:pPr>
      <w:hyperlink w:anchor="_Toc235027241" w:history="1">
        <w:r>
          <w:rPr>
            <w:rStyle w:val="aff9"/>
            <w:noProof/>
          </w:rPr>
          <w:t>二、数据与实验设计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_Toc235027241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2D7B4AF" w14:textId="623B8378">
      <w:pPr>
        <w:pStyle w:val="TOC1"/>
        <w:tabs>
          <w:tab w:val="right" w:leader="dot" w:pos="9005"/>
        </w:tabs>
        <w:rPr>
          <w:rFonts w:hint="eastAsia"/>
          <w:noProof/>
          <w:kern w:val="2"/>
          <w:szCs w:val="24"/>
          <w:lang w:eastAsia="zh-CN"/>
          <w14:ligatures w14:val="standardContextual"/>
        </w:rPr>
      </w:pPr>
      <w:hyperlink w:anchor="_Toc235027242" w:history="1">
        <w:r>
          <w:rPr>
            <w:rStyle w:val="aff9"/>
            <w:noProof/>
          </w:rPr>
          <w:t>三、</w:t>
        </w:r>
        <w:r>
          <w:rPr>
            <w:rStyle w:val="aff9"/>
            <w:noProof/>
          </w:rPr>
          <w:t>ERC</w:t>
        </w:r>
        <w:r>
          <w:rPr>
            <w:rStyle w:val="aff9"/>
            <w:noProof/>
          </w:rPr>
          <w:t>模型与凸等价重构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_Toc235027242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83B66A2" w14:textId="5856B95D">
      <w:pPr>
        <w:pStyle w:val="TOC1"/>
        <w:tabs>
          <w:tab w:val="right" w:leader="dot" w:pos="9005"/>
        </w:tabs>
        <w:rPr>
          <w:rFonts w:hint="eastAsia"/>
          <w:noProof/>
          <w:kern w:val="2"/>
          <w:szCs w:val="24"/>
          <w:lang w:eastAsia="zh-CN"/>
          <w14:ligatures w14:val="standardContextual"/>
        </w:rPr>
      </w:pPr>
      <w:hyperlink w:anchor="_Toc235027243" w:history="1">
        <w:r>
          <w:rPr>
            <w:rStyle w:val="aff9"/>
            <w:noProof/>
          </w:rPr>
          <w:t>四、阻尼牛顿求解算法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_Toc235027243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9DD0C26" w14:textId="5878E540">
      <w:pPr>
        <w:pStyle w:val="TOC1"/>
        <w:tabs>
          <w:tab w:val="right" w:leader="dot" w:pos="9005"/>
        </w:tabs>
        <w:rPr>
          <w:rFonts w:hint="eastAsia"/>
          <w:noProof/>
          <w:kern w:val="2"/>
          <w:szCs w:val="24"/>
          <w:lang w:eastAsia="zh-CN"/>
          <w14:ligatures w14:val="standardContextual"/>
        </w:rPr>
      </w:pPr>
      <w:hyperlink w:anchor="_Toc235027244" w:history="1">
        <w:r>
          <w:rPr>
            <w:rStyle w:val="aff9"/>
            <w:noProof/>
          </w:rPr>
          <w:t>五、数值实验与算法比较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_Toc235027244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027E997" w14:textId="5D3E9864">
      <w:pPr>
        <w:pStyle w:val="TOC1"/>
        <w:tabs>
          <w:tab w:val="right" w:leader="dot" w:pos="9005"/>
        </w:tabs>
        <w:rPr>
          <w:rFonts w:hint="eastAsia"/>
          <w:noProof/>
          <w:kern w:val="2"/>
          <w:szCs w:val="24"/>
          <w:lang w:eastAsia="zh-CN"/>
          <w14:ligatures w14:val="standardContextual"/>
        </w:rPr>
      </w:pPr>
      <w:hyperlink w:anchor="_Toc235027245" w:history="1">
        <w:r>
          <w:rPr>
            <w:rStyle w:val="aff9"/>
            <w:noProof/>
          </w:rPr>
          <w:t>六、样本外实证结果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_Toc235027245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6393340" w14:textId="6E81890D">
      <w:pPr>
        <w:pStyle w:val="TOC1"/>
        <w:tabs>
          <w:tab w:val="right" w:leader="dot" w:pos="9005"/>
        </w:tabs>
        <w:rPr>
          <w:rFonts w:hint="eastAsia"/>
          <w:noProof/>
          <w:kern w:val="2"/>
          <w:szCs w:val="24"/>
          <w:lang w:eastAsia="zh-CN"/>
          <w14:ligatures w14:val="standardContextual"/>
        </w:rPr>
      </w:pPr>
      <w:hyperlink w:anchor="_Toc235027246" w:history="1">
        <w:r>
          <w:rPr>
            <w:rStyle w:val="aff9"/>
            <w:noProof/>
          </w:rPr>
          <w:t>七、一般风险预算扩展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_Toc235027246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B6FFF96" w14:textId="43EDF639">
      <w:pPr>
        <w:pStyle w:val="TOC1"/>
        <w:tabs>
          <w:tab w:val="right" w:leader="dot" w:pos="9005"/>
        </w:tabs>
        <w:rPr>
          <w:rFonts w:hint="eastAsia"/>
          <w:noProof/>
          <w:kern w:val="2"/>
          <w:szCs w:val="24"/>
          <w:lang w:eastAsia="zh-CN"/>
          <w14:ligatures w14:val="standardContextual"/>
        </w:rPr>
      </w:pPr>
      <w:hyperlink w:anchor="_Toc235027247" w:history="1">
        <w:r>
          <w:rPr>
            <w:rStyle w:val="aff9"/>
            <w:noProof/>
          </w:rPr>
          <w:t>八、结论与局限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_Toc235027247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2ACCF19" w14:textId="2BCED692">
      <w:pPr>
        <w:pStyle w:val="TOC1"/>
        <w:tabs>
          <w:tab w:val="right" w:leader="dot" w:pos="9005"/>
        </w:tabs>
        <w:rPr>
          <w:rFonts w:hint="eastAsia"/>
          <w:noProof/>
          <w:kern w:val="2"/>
          <w:szCs w:val="24"/>
          <w:lang w:eastAsia="zh-CN"/>
          <w14:ligatures w14:val="standardContextual"/>
        </w:rPr>
      </w:pPr>
      <w:hyperlink w:anchor="_Toc235027248" w:history="1">
        <w:r>
          <w:rPr>
            <w:rStyle w:val="aff9"/>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_Toc235027248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1A61370" w14:textId="2A91AF00">
      <w:pPr>
        <w:spacing w:after="0"/>
        <w:ind w:firstLine="0"/>
      </w:pPr>
      <w:r>
        <w:fldChar w:fldCharType="end"/>
      </w:r>
    </w:p>
    <w:p w14:paraId="2B4468DC" w14:textId="77777777">
      <w:pPr>
        <w:sectPr>
          <w:footerReference w:type="default" r:id="rId7"/>
          <w:pgSz w:w="11909" w:h="16834"/>
          <w:pgMar w:top="1368" w:right="1368" w:bottom="1253" w:left="1526" w:header="648" w:footer="648" w:gutter="0"/>
          <w:pgNumType w:fmt="lowerRoman" w:start="1"/>
          <w:cols w:space="720"/>
          <w:docGrid w:linePitch="360"/>
        </w:sectPr>
      </w:pPr>
    </w:p>
    <w:p w14:paraId="7A778A19" w14:textId="77777777">
      <w:pPr>
        <w:pStyle w:val="1"/>
        <w:rPr>
          <w:rFonts w:ascii="Times New Roman" w:eastAsia="宋体" w:hAnsi="Times New Roman" w:cs="Times New Roman"/>
        </w:rPr>
      </w:pPr>
      <w:bookmarkStart w:id="0" w:name="_Toc235027240"/>
      <w:r>
        <w:rPr>
          <w:rFonts w:ascii="Times New Roman" w:eastAsia="宋体" w:hAnsi="Times New Roman" w:cs="Times New Roman"/>
        </w:rPr>
        <w:lastRenderedPageBreak/>
        <w:t>一、引言</w:t>
      </w:r>
      <w:bookmarkEnd w:id="0"/>
    </w:p>
    <w:p w14:paraId="56F9DA8A" w14:textId="77777777">
      <w:pPr>
        <w:pStyle w:val="21"/>
        <w:rPr>
          <w:rFonts w:ascii="Times New Roman" w:eastAsia="宋体" w:hAnsi="Times New Roman" w:cs="Times New Roman"/>
        </w:rPr>
      </w:pPr>
      <w:r>
        <w:rPr>
          <w:rFonts w:ascii="Times New Roman" w:eastAsia="宋体" w:hAnsi="Times New Roman" w:cs="Times New Roman"/>
        </w:rPr>
        <w:t>（一）研究背景</w:t>
      </w:r>
    </w:p>
    <w:p w14:paraId="4A41CAE8" w14:textId="77777777">
      <w:pPr>
        <w:jc w:val="both"/>
      </w:pPr>
      <w:r>
        <w:t xml:space="preserve">Markowitz </w:t>
      </w:r>
      <w:r>
        <w:t>均值</w:t>
      </w:r>
      <w:r>
        <w:t>—</w:t>
      </w:r>
      <w:r>
        <w:t>方差模型把资产配置形式化为收益与风险之间的优化问题，但最优权重对预期收益和协方差输入较为敏感，有限样本中的微小估计误差可能造成明显的仓位变化</w:t>
      </w:r>
      <w:r>
        <w:t>[1]</w:t>
      </w:r>
      <w:r>
        <w:t>。当投资范围同时包含股票、债券、商品和黄金时，资金等权也不等于风险分散：高波动或与其他资产高度相关的品种可能承担组合中的大部分风险。风险预算方法因此把决策视角从资本比例转向风险贡献比例，使投资者能够在不依赖精确收益预测的条件下表达分散化目标。</w:t>
      </w:r>
    </w:p>
    <w:p w14:paraId="5911F9E6" w14:textId="77777777">
      <w:pPr>
        <w:jc w:val="both"/>
      </w:pPr>
      <w:r>
        <w:t>风险贡献相等并不要求资金权重相等。低波动、低相关资产往往需要较高资金权重，才能与高波动资产承担相近风险。这一机制具有清晰的金融含义，却对应一个正权重域上的非线性方程组；若直接最小化风险贡献残差，目标函数还会受到风险矩阵尺度和通用停止条件影响。因此，本报告把重点放在风险预算问题的凸等价重构、二阶数值求解和独立结果验收上。</w:t>
      </w:r>
    </w:p>
    <w:p w14:paraId="21ACE1AB" w14:textId="77777777">
      <w:pPr>
        <w:pStyle w:val="21"/>
        <w:rPr>
          <w:rFonts w:ascii="Times New Roman" w:eastAsia="宋体" w:hAnsi="Times New Roman" w:cs="Times New Roman"/>
        </w:rPr>
      </w:pPr>
      <w:r>
        <w:rPr>
          <w:rFonts w:ascii="Times New Roman" w:eastAsia="宋体" w:hAnsi="Times New Roman" w:cs="Times New Roman"/>
        </w:rPr>
        <w:t>（二）相关研究</w:t>
      </w:r>
    </w:p>
    <w:p w14:paraId="005A334B" w14:textId="77777777">
      <w:pPr>
        <w:jc w:val="both"/>
      </w:pPr>
      <w:r>
        <w:t xml:space="preserve">Tasche </w:t>
      </w:r>
      <w:r>
        <w:t>依据一阶齐次风险度量和</w:t>
      </w:r>
      <w:r>
        <w:t xml:space="preserve"> Euler </w:t>
      </w:r>
      <w:r>
        <w:t>定理说明，总风险可以分解为各仓位与其边际风险的乘积之和，且该分解具有完整分配和风险调整绩效相容的经济含义</w:t>
      </w:r>
      <w:r>
        <w:t>[2]</w:t>
      </w:r>
      <w:r>
        <w:t>。</w:t>
      </w:r>
      <w:r>
        <w:t>Maillard</w:t>
      </w:r>
      <w:r>
        <w:t>、</w:t>
      </w:r>
      <w:r>
        <w:t xml:space="preserve">Roncalli </w:t>
      </w:r>
      <w:r>
        <w:t>与</w:t>
      </w:r>
      <w:r>
        <w:t xml:space="preserve"> Teïletche </w:t>
      </w:r>
      <w:r>
        <w:t>系统研究了等风险贡献组合，指出其波动率通常位于最小方差组合与资金等权组合之间，在风险集中和权重集中之间提供折中</w:t>
      </w:r>
      <w:r>
        <w:t>[3]</w:t>
      </w:r>
      <w:r>
        <w:t>。这些结论为</w:t>
      </w:r>
      <w:r>
        <w:t xml:space="preserve"> ERC </w:t>
      </w:r>
      <w:r>
        <w:t>的风险分散解释提供了理论基础。</w:t>
      </w:r>
    </w:p>
    <w:p w14:paraId="1F6E7361" w14:textId="77777777">
      <w:pPr>
        <w:jc w:val="both"/>
      </w:pPr>
      <w:r>
        <w:t xml:space="preserve">Bruder </w:t>
      </w:r>
      <w:r>
        <w:t>与</w:t>
      </w:r>
      <w:r>
        <w:t xml:space="preserve"> Roncalli </w:t>
      </w:r>
      <w:r>
        <w:t>将</w:t>
      </w:r>
      <w:r>
        <w:t xml:space="preserve"> ERC </w:t>
      </w:r>
      <w:r>
        <w:t>推广为任意正预算下的一般风险预算组合，强调风险预算描述的是资产应承担的总风险份额，而不是预先指定资金仓位</w:t>
      </w:r>
      <w:r>
        <w:t>[4]</w:t>
      </w:r>
      <w:r>
        <w:t>。</w:t>
      </w:r>
      <w:r>
        <w:t>Cetingoz</w:t>
      </w:r>
      <w:r>
        <w:t>、</w:t>
      </w:r>
      <w:r>
        <w:t xml:space="preserve">Fermanian </w:t>
      </w:r>
      <w:r>
        <w:t>与</w:t>
      </w:r>
      <w:r>
        <w:t xml:space="preserve"> Guéant </w:t>
      </w:r>
      <w:r>
        <w:t>进一步从凸优化角度讨论风险预算组合的存在性、唯一性及计算方法</w:t>
      </w:r>
      <w:r>
        <w:t>[5]</w:t>
      </w:r>
      <w:r>
        <w:t>。在数值算法方面，</w:t>
      </w:r>
      <w:r>
        <w:t xml:space="preserve">Spinu </w:t>
      </w:r>
      <w:r>
        <w:t>将风险预算方程转化为可由</w:t>
      </w:r>
      <w:r>
        <w:t xml:space="preserve"> Newton </w:t>
      </w:r>
      <w:r>
        <w:t>类方法高效求解的凸问题</w:t>
      </w:r>
      <w:r>
        <w:t>[6]</w:t>
      </w:r>
      <w:r>
        <w:t>；阻尼</w:t>
      </w:r>
      <w:r>
        <w:t xml:space="preserve"> Newton </w:t>
      </w:r>
      <w:r>
        <w:t>方向和线搜索的一般理论可参见</w:t>
      </w:r>
      <w:r>
        <w:t xml:space="preserve"> Nocedal </w:t>
      </w:r>
      <w:r>
        <w:t>与</w:t>
      </w:r>
      <w:r>
        <w:t xml:space="preserve"> Wright[7]</w:t>
      </w:r>
      <w:r>
        <w:t>。上述云盘文献构成本文第一章的主要理论脉络。</w:t>
      </w:r>
    </w:p>
    <w:p w14:paraId="6B4D0D61" w14:textId="77777777">
      <w:pPr>
        <w:jc w:val="both"/>
      </w:pPr>
      <w:r>
        <w:t>综合上述研究，风险平价并不是脱离均值</w:t>
      </w:r>
      <w:r>
        <w:t>—</w:t>
      </w:r>
      <w:r>
        <w:t>方差框架的另一套风险定义，而是对协方差风险进行不同的配置：传统模型由预期收益驱动最优权重，风险预算模型则直接规定各资产对总风险的承担比例。前者更适合表达明确的收益观点，后者在收益预测不稳定时更强调可解释的风险分散。本文据此不把</w:t>
      </w:r>
      <w:r>
        <w:t>ERC</w:t>
      </w:r>
      <w:r>
        <w:t>视为收益最大化策略，而把研究重点限定为风险预算条件的可解性、算法精度和样本外风险特征，避免用单一累计收益替代理论与数值评价。</w:t>
      </w:r>
    </w:p>
    <w:p w14:paraId="060732DC" w14:textId="77777777">
      <w:pPr>
        <w:pStyle w:val="21"/>
        <w:rPr>
          <w:rFonts w:ascii="Times New Roman" w:eastAsia="宋体" w:hAnsi="Times New Roman" w:cs="Times New Roman"/>
        </w:rPr>
      </w:pPr>
      <w:r>
        <w:rPr>
          <w:rFonts w:ascii="Times New Roman" w:eastAsia="宋体" w:hAnsi="Times New Roman" w:cs="Times New Roman"/>
        </w:rPr>
        <w:t>（三）研究问题与主要贡献</w:t>
      </w:r>
    </w:p>
    <w:p w14:paraId="5D36D5B2" w14:textId="77777777">
      <w:pPr>
        <w:jc w:val="both"/>
      </w:pPr>
      <w:r>
        <w:t>本文回答三个问题：</w:t>
      </w:r>
      <w:r>
        <w:t xml:space="preserve">ERC </w:t>
      </w:r>
      <w:r>
        <w:t>条件能否转化为具有唯一解的严格凸模型；如何利用解析</w:t>
      </w:r>
      <w:r>
        <w:t xml:space="preserve"> Hessian</w:t>
      </w:r>
      <w:r>
        <w:t>、正权重步长和</w:t>
      </w:r>
      <w:r>
        <w:t xml:space="preserve"> Armijo </w:t>
      </w:r>
      <w:r>
        <w:t>回溯稳定求解；所得权重能否在滚动风险矩阵和样本外资产配置中满足风险贡献目标。相应贡献包括：给出风险预算模型及</w:t>
      </w:r>
      <w:r>
        <w:t xml:space="preserve"> KKT</w:t>
      </w:r>
      <w:r>
        <w:t>等价关系，构建带独立</w:t>
      </w:r>
      <w:r>
        <w:t xml:space="preserve"> </w:t>
      </w:r>
      <w:r>
        <w:lastRenderedPageBreak/>
        <w:t xml:space="preserve">RC </w:t>
      </w:r>
      <w:r>
        <w:t>验收的阻尼牛顿求解器，并以真实多资产数据验证其数值性质、风险控制效果和一般预算推广能力。</w:t>
      </w:r>
    </w:p>
    <w:p w14:paraId="1BB0FB36" w14:textId="77777777">
      <w:pPr>
        <w:pStyle w:val="1"/>
        <w:rPr>
          <w:rFonts w:ascii="Times New Roman" w:eastAsia="宋体" w:hAnsi="Times New Roman" w:cs="Times New Roman"/>
        </w:rPr>
      </w:pPr>
      <w:bookmarkStart w:id="1" w:name="_Toc235027241"/>
      <w:r>
        <w:rPr>
          <w:rFonts w:ascii="Times New Roman" w:eastAsia="宋体" w:hAnsi="Times New Roman" w:cs="Times New Roman"/>
        </w:rPr>
        <w:t>二、数据与实验设计</w:t>
      </w:r>
      <w:bookmarkEnd w:id="1"/>
    </w:p>
    <w:p w14:paraId="6FA20F85" w14:textId="77777777">
      <w:pPr>
        <w:pStyle w:val="21"/>
        <w:rPr>
          <w:rFonts w:ascii="Times New Roman" w:eastAsia="宋体" w:hAnsi="Times New Roman" w:cs="Times New Roman"/>
        </w:rPr>
      </w:pPr>
      <w:r>
        <w:rPr>
          <w:rFonts w:ascii="Times New Roman" w:eastAsia="宋体" w:hAnsi="Times New Roman" w:cs="Times New Roman"/>
        </w:rPr>
        <w:t>（一）资产范围与数据处理</w:t>
      </w:r>
    </w:p>
    <w:p w14:paraId="373A5767" w14:textId="77777777">
      <w:pPr>
        <w:jc w:val="both"/>
      </w:pPr>
      <w:r>
        <w:t>实验使用项目原始</w:t>
      </w:r>
      <w:r>
        <w:t xml:space="preserve"> Excel </w:t>
      </w:r>
      <w:r>
        <w:t>工作簿第</w:t>
      </w:r>
      <w:r>
        <w:t xml:space="preserve"> 1 </w:t>
      </w:r>
      <w:r>
        <w:t>个工作表，样本期为</w:t>
      </w:r>
      <w:r>
        <w:t xml:space="preserve"> 2013-01-04 </w:t>
      </w:r>
      <w:r>
        <w:t>至</w:t>
      </w:r>
      <w:r>
        <w:t xml:space="preserve"> 2026-04-03</w:t>
      </w:r>
      <w:r>
        <w:t>，共</w:t>
      </w:r>
      <w:r>
        <w:t xml:space="preserve"> 3216 </w:t>
      </w:r>
      <w:r>
        <w:t>个交易日和</w:t>
      </w:r>
      <w:r>
        <w:t xml:space="preserve"> 9 </w:t>
      </w:r>
      <w:r>
        <w:t>类资产。资产池覆盖大盘权益、小盘权益、红利低波、长久期国债、有色、能源化工、豆粕和黄金等</w:t>
      </w:r>
      <w:r>
        <w:t>ETF</w:t>
      </w:r>
      <w:r>
        <w:t>或指数代理。</w:t>
      </w:r>
      <w:r>
        <w:t>ETF</w:t>
      </w:r>
      <w:r>
        <w:t>成立前沿用项目提供的指数代理，因此回测反映连续的资产类别暴露，并不代表所有日期均可交易同一只基金。</w:t>
      </w:r>
    </w:p>
    <w:p w14:paraId="5437EE72" w14:textId="5E7A169F">
      <w:pPr>
        <w:pStyle w:val="af7"/>
        <w:keepNext/>
        <w:jc w:val="center"/>
      </w:pPr>
      <w:r>
        <w:t>表</w:t>
      </w:r>
      <w:r>
        <w:t xml:space="preserve"> </w:t>
      </w:r>
      <w:bookmarkStart w:id="2" w:name="tbl1"/>
      <w:r>
        <w:fldChar w:fldCharType="begin"/>
      </w:r>
      <w:r>
        <w:instrText xml:space="preserve"> SEQ Table \* ARABIC </w:instrText>
      </w:r>
      <w:r>
        <w:fldChar w:fldCharType="separate"/>
      </w:r>
      <w:r>
        <w:rPr>
          <w:noProof/>
        </w:rPr>
        <w:t>1</w:t>
      </w:r>
      <w:r>
        <w:fldChar w:fldCharType="end"/>
      </w:r>
      <w:bookmarkEnd w:id="2"/>
      <w:r>
        <w:t xml:space="preserve">　样本与数据质量概览</w:t>
      </w:r>
    </w:p>
    <w:tbl>
      <w:tblPr>
        <w:tblStyle w:val="aff1"/>
        <w:tblW w:w="8899" w:type="dxa"/>
        <w:tblInd w:w="120" w:type="dxa"/>
        <w:tblLayout w:type="fixed"/>
        <w:tblLook w:val="04A0" w:firstRow="1" w:lastRow="0" w:firstColumn="1" w:lastColumn="0" w:noHBand="0" w:noVBand="1"/>
      </w:tblPr>
      <w:tblGrid>
        <w:gridCol w:w="2880"/>
        <w:gridCol w:w="6019"/>
      </w:tblGrid>
      <w:tr w14:paraId="2088DC78" w14:textId="77777777">
        <w:trPr>
          <w:tblHeader/>
        </w:trPr>
        <w:tc>
          <w:tcPr>
            <w:tcW w:w="2880" w:type="dxa"/>
            <w:shd w:val="clear" w:color="auto" w:fill="D9EAF7"/>
            <w:tcMar>
              <w:top w:w="80" w:type="dxa"/>
              <w:left w:w="120" w:type="dxa"/>
              <w:bottom w:w="80" w:type="dxa"/>
              <w:right w:w="120" w:type="dxa"/>
            </w:tcMar>
            <w:vAlign w:val="center"/>
          </w:tcPr>
          <w:p w14:paraId="00C37810" w14:textId="77777777">
            <w:pPr>
              <w:spacing w:after="0" w:line="264" w:lineRule="auto"/>
              <w:ind w:firstLine="0"/>
              <w:jc w:val="center"/>
            </w:pPr>
            <w:r>
              <w:rPr>
                <w:b/>
                <w:sz w:val="20"/>
              </w:rPr>
              <w:t>项目</w:t>
            </w:r>
          </w:p>
        </w:tc>
        <w:tc>
          <w:tcPr>
            <w:tcW w:w="6019" w:type="dxa"/>
            <w:shd w:val="clear" w:color="auto" w:fill="D9EAF7"/>
            <w:tcMar>
              <w:top w:w="80" w:type="dxa"/>
              <w:left w:w="120" w:type="dxa"/>
              <w:bottom w:w="80" w:type="dxa"/>
              <w:right w:w="120" w:type="dxa"/>
            </w:tcMar>
            <w:vAlign w:val="center"/>
          </w:tcPr>
          <w:p w14:paraId="65E1BFD3" w14:textId="77777777">
            <w:pPr>
              <w:spacing w:after="0" w:line="264" w:lineRule="auto"/>
              <w:ind w:firstLine="0"/>
              <w:jc w:val="center"/>
            </w:pPr>
            <w:r>
              <w:rPr>
                <w:b/>
                <w:sz w:val="20"/>
              </w:rPr>
              <w:t>统计结果</w:t>
            </w:r>
          </w:p>
        </w:tc>
      </w:tr>
      <w:tr w14:paraId="482350F8" w14:textId="77777777">
        <w:tc>
          <w:tcPr>
            <w:tcW w:w="2880" w:type="dxa"/>
            <w:tcMar>
              <w:top w:w="80" w:type="dxa"/>
              <w:left w:w="120" w:type="dxa"/>
              <w:bottom w:w="80" w:type="dxa"/>
              <w:right w:w="120" w:type="dxa"/>
            </w:tcMar>
            <w:vAlign w:val="center"/>
          </w:tcPr>
          <w:p w14:paraId="3D7EAC3B" w14:textId="77777777">
            <w:pPr>
              <w:spacing w:after="0" w:line="264" w:lineRule="auto"/>
              <w:ind w:firstLine="0"/>
              <w:jc w:val="center"/>
            </w:pPr>
            <w:r>
              <w:rPr>
                <w:sz w:val="20"/>
              </w:rPr>
              <w:t>样本区间</w:t>
            </w:r>
          </w:p>
        </w:tc>
        <w:tc>
          <w:tcPr>
            <w:tcW w:w="6019" w:type="dxa"/>
            <w:tcMar>
              <w:top w:w="80" w:type="dxa"/>
              <w:left w:w="120" w:type="dxa"/>
              <w:bottom w:w="80" w:type="dxa"/>
              <w:right w:w="120" w:type="dxa"/>
            </w:tcMar>
            <w:vAlign w:val="center"/>
          </w:tcPr>
          <w:p w14:paraId="3FA21598" w14:textId="77777777">
            <w:pPr>
              <w:spacing w:after="0" w:line="264" w:lineRule="auto"/>
              <w:ind w:firstLine="0"/>
              <w:jc w:val="center"/>
            </w:pPr>
            <w:r>
              <w:rPr>
                <w:sz w:val="20"/>
              </w:rPr>
              <w:t>2013-01-04—2026-04-03</w:t>
            </w:r>
          </w:p>
        </w:tc>
      </w:tr>
      <w:tr w14:paraId="0128963F" w14:textId="77777777">
        <w:tc>
          <w:tcPr>
            <w:tcW w:w="2880" w:type="dxa"/>
            <w:tcMar>
              <w:top w:w="80" w:type="dxa"/>
              <w:left w:w="120" w:type="dxa"/>
              <w:bottom w:w="80" w:type="dxa"/>
              <w:right w:w="120" w:type="dxa"/>
            </w:tcMar>
            <w:vAlign w:val="center"/>
          </w:tcPr>
          <w:p w14:paraId="0DE61163" w14:textId="77777777">
            <w:pPr>
              <w:spacing w:after="0" w:line="264" w:lineRule="auto"/>
              <w:ind w:firstLine="0"/>
              <w:jc w:val="center"/>
            </w:pPr>
            <w:r>
              <w:rPr>
                <w:sz w:val="20"/>
              </w:rPr>
              <w:t>交易日与资产</w:t>
            </w:r>
          </w:p>
        </w:tc>
        <w:tc>
          <w:tcPr>
            <w:tcW w:w="6019" w:type="dxa"/>
            <w:tcMar>
              <w:top w:w="80" w:type="dxa"/>
              <w:left w:w="120" w:type="dxa"/>
              <w:bottom w:w="80" w:type="dxa"/>
              <w:right w:w="120" w:type="dxa"/>
            </w:tcMar>
            <w:vAlign w:val="center"/>
          </w:tcPr>
          <w:p w14:paraId="4E35CDE5" w14:textId="77777777">
            <w:pPr>
              <w:spacing w:after="0" w:line="264" w:lineRule="auto"/>
              <w:ind w:firstLine="0"/>
              <w:jc w:val="center"/>
            </w:pPr>
            <w:r>
              <w:rPr>
                <w:sz w:val="20"/>
              </w:rPr>
              <w:t xml:space="preserve">3216 </w:t>
            </w:r>
            <w:r>
              <w:rPr>
                <w:sz w:val="20"/>
              </w:rPr>
              <w:t>日，</w:t>
            </w:r>
            <w:r>
              <w:rPr>
                <w:sz w:val="20"/>
              </w:rPr>
              <w:t xml:space="preserve">9 </w:t>
            </w:r>
            <w:r>
              <w:rPr>
                <w:sz w:val="20"/>
              </w:rPr>
              <w:t>类资产</w:t>
            </w:r>
          </w:p>
        </w:tc>
      </w:tr>
      <w:tr w14:paraId="4FDD15F3" w14:textId="77777777">
        <w:tc>
          <w:tcPr>
            <w:tcW w:w="2880" w:type="dxa"/>
            <w:tcMar>
              <w:top w:w="80" w:type="dxa"/>
              <w:left w:w="120" w:type="dxa"/>
              <w:bottom w:w="80" w:type="dxa"/>
              <w:right w:w="120" w:type="dxa"/>
            </w:tcMar>
            <w:vAlign w:val="center"/>
          </w:tcPr>
          <w:p w14:paraId="0D18B061" w14:textId="77777777">
            <w:pPr>
              <w:spacing w:after="0" w:line="264" w:lineRule="auto"/>
              <w:ind w:firstLine="0"/>
              <w:jc w:val="center"/>
            </w:pPr>
            <w:r>
              <w:rPr>
                <w:sz w:val="20"/>
              </w:rPr>
              <w:t>重复日期</w:t>
            </w:r>
          </w:p>
        </w:tc>
        <w:tc>
          <w:tcPr>
            <w:tcW w:w="6019" w:type="dxa"/>
            <w:tcMar>
              <w:top w:w="80" w:type="dxa"/>
              <w:left w:w="120" w:type="dxa"/>
              <w:bottom w:w="80" w:type="dxa"/>
              <w:right w:w="120" w:type="dxa"/>
            </w:tcMar>
            <w:vAlign w:val="center"/>
          </w:tcPr>
          <w:p w14:paraId="07332347" w14:textId="77777777">
            <w:pPr>
              <w:spacing w:after="0" w:line="264" w:lineRule="auto"/>
              <w:ind w:firstLine="0"/>
              <w:jc w:val="center"/>
            </w:pPr>
            <w:r>
              <w:rPr>
                <w:sz w:val="20"/>
              </w:rPr>
              <w:t>0</w:t>
            </w:r>
          </w:p>
        </w:tc>
      </w:tr>
      <w:tr w14:paraId="2992F7AB" w14:textId="77777777">
        <w:tc>
          <w:tcPr>
            <w:tcW w:w="2880" w:type="dxa"/>
            <w:tcMar>
              <w:top w:w="80" w:type="dxa"/>
              <w:left w:w="120" w:type="dxa"/>
              <w:bottom w:w="80" w:type="dxa"/>
              <w:right w:w="120" w:type="dxa"/>
            </w:tcMar>
            <w:vAlign w:val="center"/>
          </w:tcPr>
          <w:p w14:paraId="6F9FE17B" w14:textId="77777777">
            <w:pPr>
              <w:spacing w:after="0" w:line="264" w:lineRule="auto"/>
              <w:ind w:firstLine="0"/>
              <w:jc w:val="center"/>
            </w:pPr>
            <w:r>
              <w:rPr>
                <w:sz w:val="20"/>
              </w:rPr>
              <w:t>缺失值处理</w:t>
            </w:r>
          </w:p>
        </w:tc>
        <w:tc>
          <w:tcPr>
            <w:tcW w:w="6019" w:type="dxa"/>
            <w:tcMar>
              <w:top w:w="80" w:type="dxa"/>
              <w:left w:w="120" w:type="dxa"/>
              <w:bottom w:w="80" w:type="dxa"/>
              <w:right w:w="120" w:type="dxa"/>
            </w:tcMar>
            <w:vAlign w:val="center"/>
          </w:tcPr>
          <w:p w14:paraId="639A17E1" w14:textId="77777777">
            <w:pPr>
              <w:spacing w:after="0" w:line="264" w:lineRule="auto"/>
              <w:ind w:firstLine="0"/>
              <w:jc w:val="center"/>
            </w:pPr>
            <w:r>
              <w:rPr>
                <w:sz w:val="20"/>
              </w:rPr>
              <w:t xml:space="preserve">3 </w:t>
            </w:r>
            <w:r>
              <w:rPr>
                <w:sz w:val="20"/>
              </w:rPr>
              <w:t>个孤立缺失收益填</w:t>
            </w:r>
            <w:r>
              <w:rPr>
                <w:sz w:val="20"/>
              </w:rPr>
              <w:t xml:space="preserve"> 0</w:t>
            </w:r>
          </w:p>
        </w:tc>
      </w:tr>
      <w:tr w14:paraId="44F9D880" w14:textId="77777777">
        <w:tc>
          <w:tcPr>
            <w:tcW w:w="2880" w:type="dxa"/>
            <w:tcMar>
              <w:top w:w="80" w:type="dxa"/>
              <w:left w:w="120" w:type="dxa"/>
              <w:bottom w:w="80" w:type="dxa"/>
              <w:right w:w="120" w:type="dxa"/>
            </w:tcMar>
            <w:vAlign w:val="center"/>
          </w:tcPr>
          <w:p w14:paraId="0634284D" w14:textId="77777777">
            <w:pPr>
              <w:spacing w:after="0" w:line="264" w:lineRule="auto"/>
              <w:ind w:firstLine="0"/>
              <w:jc w:val="center"/>
            </w:pPr>
            <w:r>
              <w:rPr>
                <w:sz w:val="20"/>
              </w:rPr>
              <w:t>收益率范围</w:t>
            </w:r>
          </w:p>
        </w:tc>
        <w:tc>
          <w:tcPr>
            <w:tcW w:w="6019" w:type="dxa"/>
            <w:tcMar>
              <w:top w:w="80" w:type="dxa"/>
              <w:left w:w="120" w:type="dxa"/>
              <w:bottom w:w="80" w:type="dxa"/>
              <w:right w:w="120" w:type="dxa"/>
            </w:tcMar>
            <w:vAlign w:val="center"/>
          </w:tcPr>
          <w:p w14:paraId="19FAC8E6" w14:textId="77777777">
            <w:pPr>
              <w:spacing w:after="0" w:line="264" w:lineRule="auto"/>
              <w:ind w:firstLine="0"/>
              <w:jc w:val="center"/>
            </w:pPr>
            <w:r>
              <w:rPr>
                <w:sz w:val="20"/>
              </w:rPr>
              <w:t xml:space="preserve">-10.01% </w:t>
            </w:r>
            <w:r>
              <w:rPr>
                <w:sz w:val="20"/>
              </w:rPr>
              <w:t>至</w:t>
            </w:r>
            <w:r>
              <w:rPr>
                <w:sz w:val="20"/>
              </w:rPr>
              <w:t xml:space="preserve"> 9.99%</w:t>
            </w:r>
          </w:p>
        </w:tc>
      </w:tr>
    </w:tbl>
    <w:p w14:paraId="3FF38223" w14:textId="77777777">
      <w:pPr>
        <w:spacing w:after="40"/>
        <w:ind w:firstLine="0"/>
      </w:pPr>
    </w:p>
    <w:p w14:paraId="7BD4582C" w14:textId="584ED8BA">
      <w:pPr>
        <w:jc w:val="both"/>
      </w:pPr>
      <w:r>
        <w:t>样本质量概览见表</w:t>
      </w:r>
      <w:r>
        <w:t xml:space="preserve"> </w:t>
      </w:r>
      <w:r>
        <w:fldChar w:fldCharType="begin"/>
      </w:r>
      <w:r>
        <w:instrText xml:space="preserve"> REF tbl1 \h </w:instrText>
      </w:r>
      <w:r>
        <w:fldChar w:fldCharType="separate"/>
      </w:r>
      <w:r>
        <w:rPr>
          <w:noProof/>
        </w:rPr>
        <w:t>1</w:t>
      </w:r>
      <w:r>
        <w:fldChar w:fldCharType="end"/>
      </w:r>
      <w:r>
        <w:t>。原表收益率以百分数存储，进入模型前统一转换为小数；数据日期保持递增且不存在重复记录。</w:t>
      </w:r>
    </w:p>
    <w:p w14:paraId="1C477990" w14:textId="77777777">
      <w:pPr>
        <w:pStyle w:val="21"/>
        <w:rPr>
          <w:rFonts w:ascii="Times New Roman" w:eastAsia="宋体" w:hAnsi="Times New Roman" w:cs="Times New Roman"/>
        </w:rPr>
      </w:pPr>
      <w:r>
        <w:rPr>
          <w:rFonts w:ascii="Times New Roman" w:eastAsia="宋体" w:hAnsi="Times New Roman" w:cs="Times New Roman"/>
        </w:rPr>
        <w:t>（二）</w:t>
      </w:r>
      <w:r>
        <w:rPr>
          <w:rFonts w:ascii="Times New Roman" w:eastAsia="宋体" w:hAnsi="Times New Roman" w:cs="Times New Roman"/>
        </w:rPr>
        <w:t xml:space="preserve">EWMA </w:t>
      </w:r>
      <w:r>
        <w:rPr>
          <w:rFonts w:ascii="Times New Roman" w:eastAsia="宋体" w:hAnsi="Times New Roman" w:cs="Times New Roman"/>
        </w:rPr>
        <w:t>半协方差与正则化</w:t>
      </w:r>
    </w:p>
    <w:p w14:paraId="7D0F3A3D" w14:textId="77777777">
      <w:pPr>
        <w:jc w:val="both"/>
      </w:pPr>
      <w:r>
        <w:t>主模型使用</w:t>
      </w:r>
      <w:r>
        <w:t xml:space="preserve"> 252 </w:t>
      </w:r>
      <w:r>
        <w:t>个交易日滚动窗口和</w:t>
      </w:r>
      <w:r>
        <w:t xml:space="preserve"> 0.97 </w:t>
      </w:r>
      <w:r>
        <w:t>的</w:t>
      </w:r>
      <w:r>
        <w:t xml:space="preserve"> EWMA </w:t>
      </w:r>
      <w:r>
        <w:t>衰减系数，较近观测获得更高权重；收益只保留负向部分，以强调亏损状态下的共同波动。为降低短样本和高度相关资产造成的近奇异问题，在风险矩阵对角线上加入</w:t>
      </w:r>
      <w:r>
        <w:t xml:space="preserve"> 10⁻⁸I</w:t>
      </w:r>
      <w:r>
        <w:t>。该正则项用于改善线性方程求解条件，并不改变风险预算的经济定义。</w:t>
      </w:r>
    </w:p>
    <w:p w14:paraId="4C3A2774" w14:textId="77777777">
      <w:pPr>
        <w:pStyle w:val="Equation"/>
        <w:tabs>
          <w:tab w:val="center" w:pos="4507"/>
          <w:tab w:val="right" w:pos="9014"/>
        </w:tabs>
      </w:pPr>
      <w:r>
        <w:tab/>
      </w:r>
      <m:oMath>
        <m:r>
          <m:t>Σ</m:t>
        </m:r>
        <m:r>
          <m:t>=</m:t>
        </m:r>
        <m:nary>
          <m:naryPr>
            <m:chr m:val="∑"/>
            <m:limLoc m:val="undOvr"/>
            <m:grow m:val="1"/>
            <m:ctrlPr/>
          </m:naryPr>
          <m:sub>
            <m:r>
              <m:t>t</m:t>
            </m:r>
            <m:r>
              <m:t>=1</m:t>
            </m:r>
          </m:sub>
          <m:sup>
            <m:r>
              <m:t>T</m:t>
            </m:r>
          </m:sup>
          <m:e>
            <m:sSub>
              <m:sSubPr>
                <m:ctrlPr/>
              </m:sSubPr>
              <m:e>
                <m:r>
                  <m:t>α</m:t>
                </m:r>
              </m:e>
              <m:sub>
                <m:r>
                  <m:t>t</m:t>
                </m:r>
              </m:sub>
            </m:sSub>
          </m:e>
        </m:nary>
        <m:sSub>
          <m:sSubPr>
            <m:ctrlPr/>
          </m:sSubPr>
          <m:e>
            <m:r>
              <m:t>r</m:t>
            </m:r>
          </m:e>
          <m:sub>
            <m:r>
              <m:t>t</m:t>
            </m:r>
          </m:sub>
        </m:sSub>
        <m:sSubSup>
          <m:sSubSupPr>
            <m:ctrlPr/>
          </m:sSubSupPr>
          <m:e>
            <m:r>
              <m:t>r</m:t>
            </m:r>
          </m:e>
          <m:sub>
            <m:r>
              <m:t>t</m:t>
            </m:r>
          </m:sub>
          <m:sup>
            <m:r>
              <m:t>T</m:t>
            </m:r>
          </m:sup>
        </m:sSubSup>
        <m:r>
          <m:t>+</m:t>
        </m:r>
        <m:sSup>
          <m:sSupPr>
            <m:ctrlPr/>
          </m:sSupPr>
          <m:e>
            <m:r>
              <m:t>10</m:t>
            </m:r>
          </m:e>
          <m:sup>
            <m:r>
              <m:t>-</m:t>
            </m:r>
            <m:r>
              <m:t>8</m:t>
            </m:r>
          </m:sup>
        </m:sSup>
        <m:r>
          <m:t>I</m:t>
        </m:r>
        <m:r>
          <m:t>,</m:t>
        </m:r>
        <m:sSub>
          <m:sSubPr>
            <m:ctrlPr/>
          </m:sSubPr>
          <m:e>
            <m:r>
              <m:t>α</m:t>
            </m:r>
          </m:e>
          <m:sub>
            <m:r>
              <m:t>t</m:t>
            </m:r>
          </m:sub>
        </m:sSub>
        <m:r>
          <m:t>∝</m:t>
        </m:r>
        <m:sSup>
          <m:sSupPr>
            <m:ctrlPr/>
          </m:sSupPr>
          <m:e>
            <m:r>
              <m:t>0.97</m:t>
            </m:r>
          </m:e>
          <m:sup>
            <m:r>
              <m:t>T</m:t>
            </m:r>
            <m:r>
              <m:t>-</m:t>
            </m:r>
            <m:r>
              <m:t>t</m:t>
            </m:r>
          </m:sup>
        </m:sSup>
      </m:oMath>
      <w:r>
        <w:rPr>
          <w:rFonts w:ascii="Times New Roman" w:hAnsi="Times New Roman" w:cs="Times New Roman"/>
          <w:sz w:val="21"/>
        </w:rPr>
        <w:tab/>
      </w:r>
      <w:r>
        <w:rPr>
          <w:rFonts w:ascii="Times New Roman" w:hAnsi="Times New Roman" w:cs="Times New Roman"/>
          <w:sz w:val="21"/>
        </w:rPr>
        <w:t>（</w:t>
      </w:r>
      <w:r>
        <w:rPr>
          <w:rFonts w:ascii="Times New Roman" w:hAnsi="Times New Roman" w:cs="Times New Roman"/>
          <w:sz w:val="21"/>
        </w:rPr>
        <w:t>1</w:t>
      </w:r>
      <w:r>
        <w:rPr>
          <w:rFonts w:ascii="Times New Roman" w:hAnsi="Times New Roman" w:cs="Times New Roman"/>
          <w:sz w:val="21"/>
        </w:rPr>
        <w:t>）</w:t>
      </w:r>
    </w:p>
    <w:p w14:paraId="6E085931" w14:textId="77777777">
      <w:pPr>
        <w:pStyle w:val="21"/>
        <w:rPr>
          <w:rFonts w:ascii="Times New Roman" w:eastAsia="宋体" w:hAnsi="Times New Roman" w:cs="Times New Roman"/>
        </w:rPr>
      </w:pPr>
      <w:r>
        <w:rPr>
          <w:rFonts w:ascii="Times New Roman" w:eastAsia="宋体" w:hAnsi="Times New Roman" w:cs="Times New Roman"/>
        </w:rPr>
        <w:t>（三）滚动回测与评价指标</w:t>
      </w:r>
    </w:p>
    <w:p w14:paraId="515294A7" w14:textId="77777777">
      <w:pPr>
        <w:jc w:val="both"/>
      </w:pPr>
      <w:r>
        <w:t>每个月末使用截至当日的</w:t>
      </w:r>
      <w:r>
        <w:t xml:space="preserve"> 252 </w:t>
      </w:r>
      <w:r>
        <w:t>日数据估计风险矩阵，目标权重在下一交易日执行，单边换手成本为</w:t>
      </w:r>
      <w:r>
        <w:t xml:space="preserve"> 5bp</w:t>
      </w:r>
      <w:r>
        <w:t>。训练期为</w:t>
      </w:r>
      <w:r>
        <w:t xml:space="preserve"> 2014-01-01 </w:t>
      </w:r>
      <w:r>
        <w:t>至</w:t>
      </w:r>
      <w:r>
        <w:t xml:space="preserve"> 2020-12-31</w:t>
      </w:r>
      <w:r>
        <w:t>，验证期为</w:t>
      </w:r>
      <w:r>
        <w:t xml:space="preserve"> 2021-01-01 </w:t>
      </w:r>
      <w:r>
        <w:t>至</w:t>
      </w:r>
      <w:r>
        <w:t xml:space="preserve"> 2026-04-03</w:t>
      </w:r>
      <w:r>
        <w:t>，参数选择仅使用训练期。数值评价记录求解状态、迭代次数、</w:t>
      </w:r>
      <w:r>
        <w:t>RC</w:t>
      </w:r>
      <w:r>
        <w:t>误差和权重约束误差；实证评价使用年化收益、年化波动、夏普比率、最大回撤和换手率。</w:t>
      </w:r>
    </w:p>
    <w:p w14:paraId="681D9B37" w14:textId="77777777">
      <w:pPr>
        <w:pStyle w:val="1"/>
        <w:rPr>
          <w:rFonts w:ascii="Times New Roman" w:eastAsia="宋体" w:hAnsi="Times New Roman" w:cs="Times New Roman"/>
        </w:rPr>
      </w:pPr>
      <w:bookmarkStart w:id="3" w:name="_Toc235027242"/>
      <w:r>
        <w:rPr>
          <w:rFonts w:ascii="Times New Roman" w:eastAsia="宋体" w:hAnsi="Times New Roman" w:cs="Times New Roman"/>
        </w:rPr>
        <w:lastRenderedPageBreak/>
        <w:t>三、</w:t>
      </w:r>
      <w:r>
        <w:rPr>
          <w:rFonts w:ascii="Times New Roman" w:eastAsia="宋体" w:hAnsi="Times New Roman" w:cs="Times New Roman"/>
        </w:rPr>
        <w:t>ERC</w:t>
      </w:r>
      <w:r>
        <w:rPr>
          <w:rFonts w:ascii="Times New Roman" w:eastAsia="宋体" w:hAnsi="Times New Roman" w:cs="Times New Roman"/>
        </w:rPr>
        <w:t>模型与凸等价重构</w:t>
      </w:r>
      <w:bookmarkEnd w:id="3"/>
    </w:p>
    <w:p w14:paraId="52D870EF" w14:textId="77777777">
      <w:pPr>
        <w:pStyle w:val="21"/>
        <w:rPr>
          <w:rFonts w:ascii="Times New Roman" w:eastAsia="宋体" w:hAnsi="Times New Roman" w:cs="Times New Roman"/>
        </w:rPr>
      </w:pPr>
      <w:r>
        <w:rPr>
          <w:rFonts w:ascii="Times New Roman" w:eastAsia="宋体" w:hAnsi="Times New Roman" w:cs="Times New Roman"/>
        </w:rPr>
        <w:t>（一）组合风险与</w:t>
      </w:r>
      <w:r>
        <w:rPr>
          <w:rFonts w:ascii="Times New Roman" w:eastAsia="宋体" w:hAnsi="Times New Roman" w:cs="Times New Roman"/>
        </w:rPr>
        <w:t xml:space="preserve"> Euler </w:t>
      </w:r>
      <w:r>
        <w:rPr>
          <w:rFonts w:ascii="Times New Roman" w:eastAsia="宋体" w:hAnsi="Times New Roman" w:cs="Times New Roman"/>
        </w:rPr>
        <w:t>分解</w:t>
      </w:r>
    </w:p>
    <w:p w14:paraId="54716680" w14:textId="77777777">
      <w:pPr>
        <w:jc w:val="both"/>
      </w:pPr>
      <w:r>
        <w:t>设资金权重为</w:t>
      </w:r>
      <w:r>
        <w:t xml:space="preserve"> w</w:t>
      </w:r>
      <w:r>
        <w:t>，协方差矩阵为</w:t>
      </w:r>
      <w:r>
        <w:t xml:space="preserve"> Σ</w:t>
      </w:r>
      <w:r>
        <w:t>，且</w:t>
      </w:r>
      <w:r>
        <w:t xml:space="preserve"> w</w:t>
      </w:r>
      <w:r>
        <w:t>ᵢ</w:t>
      </w:r>
      <w:r>
        <w:t>≥0</w:t>
      </w:r>
      <w:r>
        <w:t>、</w:t>
      </w:r>
      <w:r>
        <w:t>1</w:t>
      </w:r>
      <w:r>
        <w:t>ᵀ</w:t>
      </w:r>
      <w:r>
        <w:t>w=1</w:t>
      </w:r>
      <w:r>
        <w:t>。组合波动率是一阶齐次函数，其边际风险贡献为波动率对各权重的偏导；根据</w:t>
      </w:r>
      <w:r>
        <w:t xml:space="preserve"> Euler </w:t>
      </w:r>
      <w:r>
        <w:t>定理，权重与边际贡献之积可以完全加总为组合波动率</w:t>
      </w:r>
      <w:r>
        <w:t>[2]</w:t>
      </w:r>
      <w:r>
        <w:t>。将各资产总风险贡献除以组合总风险，得到归一化风险贡献</w:t>
      </w:r>
      <w:r>
        <w:t xml:space="preserve"> RC</w:t>
      </w:r>
      <w:r>
        <w:t>ᵢ</w:t>
      </w:r>
      <w:r>
        <w:t>。</w:t>
      </w:r>
    </w:p>
    <w:p w14:paraId="1D762900" w14:textId="77777777">
      <w:pPr>
        <w:pStyle w:val="Equation"/>
        <w:tabs>
          <w:tab w:val="center" w:pos="4507"/>
          <w:tab w:val="right" w:pos="9014"/>
        </w:tabs>
      </w:pPr>
      <w:r>
        <w:tab/>
      </w:r>
      <m:oMath>
        <m:sSub>
          <m:sSubPr>
            <m:ctrlPr/>
          </m:sSubPr>
          <m:e>
            <m:r>
              <m:t>σ</m:t>
            </m:r>
          </m:e>
          <m:sub>
            <m:r>
              <m:t>p</m:t>
            </m:r>
          </m:sub>
        </m:sSub>
        <m:r>
          <m:t>（</m:t>
        </m:r>
        <m:r>
          <m:t>w</m:t>
        </m:r>
        <m:r>
          <m:t>）</m:t>
        </m:r>
        <m:r>
          <m:t>=</m:t>
        </m:r>
        <m:rad>
          <m:radPr>
            <m:degHide m:val="1"/>
            <m:ctrlPr/>
          </m:radPr>
          <m:deg/>
          <m:e>
            <m:sSup>
              <m:sSupPr>
                <m:ctrlPr/>
              </m:sSupPr>
              <m:e>
                <m:r>
                  <m:t>w</m:t>
                </m:r>
              </m:e>
              <m:sup>
                <m:r>
                  <m:t>T</m:t>
                </m:r>
              </m:sup>
            </m:sSup>
            <m:r>
              <m:t>Σw</m:t>
            </m:r>
          </m:e>
        </m:rad>
      </m:oMath>
      <w:r>
        <w:rPr>
          <w:rFonts w:ascii="Times New Roman" w:hAnsi="Times New Roman" w:cs="Times New Roman"/>
          <w:sz w:val="21"/>
        </w:rPr>
        <w:tab/>
      </w:r>
      <w:r>
        <w:rPr>
          <w:rFonts w:ascii="Times New Roman" w:hAnsi="Times New Roman" w:cs="Times New Roman"/>
          <w:sz w:val="21"/>
        </w:rPr>
        <w:t>（</w:t>
      </w:r>
      <w:r>
        <w:rPr>
          <w:rFonts w:ascii="Times New Roman" w:hAnsi="Times New Roman" w:cs="Times New Roman"/>
          <w:sz w:val="21"/>
        </w:rPr>
        <w:t>2</w:t>
      </w:r>
      <w:r>
        <w:rPr>
          <w:rFonts w:ascii="Times New Roman" w:hAnsi="Times New Roman" w:cs="Times New Roman"/>
          <w:sz w:val="21"/>
        </w:rPr>
        <w:t>）</w:t>
      </w:r>
    </w:p>
    <w:p w14:paraId="590F9913" w14:textId="77777777">
      <w:pPr>
        <w:pStyle w:val="Equation"/>
        <w:tabs>
          <w:tab w:val="center" w:pos="4507"/>
          <w:tab w:val="right" w:pos="9014"/>
        </w:tabs>
      </w:pPr>
      <w:r>
        <w:tab/>
      </w:r>
      <m:oMath>
        <m:sSub>
          <m:sSubPr>
            <m:ctrlPr/>
          </m:sSubPr>
          <m:e>
            <m:r>
              <m:rPr>
                <m:sty m:val="p"/>
              </m:rPr>
              <m:t>MRC</m:t>
            </m:r>
          </m:e>
          <m:sub>
            <m:r>
              <m:t>i</m:t>
            </m:r>
          </m:sub>
        </m:sSub>
        <m:r>
          <m:t>=</m:t>
        </m:r>
        <m:f>
          <m:fPr>
            <m:ctrlPr/>
          </m:fPr>
          <m:num>
            <m:sSub>
              <m:sSubPr>
                <m:ctrlPr/>
              </m:sSubPr>
              <m:e>
                <m:r>
                  <m:t>（</m:t>
                </m:r>
                <m:r>
                  <m:t>Σw</m:t>
                </m:r>
                <m:r>
                  <m:t>）</m:t>
                </m:r>
              </m:e>
              <m:sub>
                <m:r>
                  <m:t>i</m:t>
                </m:r>
              </m:sub>
            </m:sSub>
          </m:num>
          <m:den>
            <m:sSub>
              <m:sSubPr>
                <m:ctrlPr/>
              </m:sSubPr>
              <m:e>
                <m:r>
                  <m:t>σ</m:t>
                </m:r>
              </m:e>
              <m:sub>
                <m:r>
                  <m:t>p</m:t>
                </m:r>
              </m:sub>
            </m:sSub>
          </m:den>
        </m:f>
        <m:r>
          <m:t>,</m:t>
        </m:r>
        <m:sSub>
          <m:sSubPr>
            <m:ctrlPr/>
          </m:sSubPr>
          <m:e>
            <m:r>
              <m:t>σ</m:t>
            </m:r>
          </m:e>
          <m:sub>
            <m:r>
              <m:t>p</m:t>
            </m:r>
          </m:sub>
        </m:sSub>
        <m:r>
          <m:t>=</m:t>
        </m:r>
        <m:nary>
          <m:naryPr>
            <m:chr m:val="∑"/>
            <m:limLoc m:val="undOvr"/>
            <m:grow m:val="1"/>
            <m:ctrlPr/>
          </m:naryPr>
          <m:sub>
            <m:r>
              <m:t>i</m:t>
            </m:r>
            <m:r>
              <m:t>=1</m:t>
            </m:r>
          </m:sub>
          <m:sup>
            <m:r>
              <m:t>n</m:t>
            </m:r>
          </m:sup>
          <m:e>
            <m:sSub>
              <m:sSubPr>
                <m:ctrlPr/>
              </m:sSubPr>
              <m:e>
                <m:r>
                  <m:t>w</m:t>
                </m:r>
              </m:e>
              <m:sub>
                <m:r>
                  <m:t>i</m:t>
                </m:r>
              </m:sub>
            </m:sSub>
          </m:e>
        </m:nary>
        <m:sSub>
          <m:sSubPr>
            <m:ctrlPr/>
          </m:sSubPr>
          <m:e>
            <m:r>
              <m:rPr>
                <m:sty m:val="p"/>
              </m:rPr>
              <m:t>MRC</m:t>
            </m:r>
          </m:e>
          <m:sub>
            <m:r>
              <m:t>i</m:t>
            </m:r>
          </m:sub>
        </m:sSub>
      </m:oMath>
      <w:r>
        <w:rPr>
          <w:rFonts w:ascii="Times New Roman" w:hAnsi="Times New Roman" w:cs="Times New Roman"/>
          <w:sz w:val="21"/>
        </w:rPr>
        <w:tab/>
      </w:r>
      <w:r>
        <w:rPr>
          <w:rFonts w:ascii="Times New Roman" w:hAnsi="Times New Roman" w:cs="Times New Roman"/>
          <w:sz w:val="21"/>
        </w:rPr>
        <w:t>（</w:t>
      </w:r>
      <w:r>
        <w:rPr>
          <w:rFonts w:ascii="Times New Roman" w:hAnsi="Times New Roman" w:cs="Times New Roman"/>
          <w:sz w:val="21"/>
        </w:rPr>
        <w:t>3</w:t>
      </w:r>
      <w:r>
        <w:rPr>
          <w:rFonts w:ascii="Times New Roman" w:hAnsi="Times New Roman" w:cs="Times New Roman"/>
          <w:sz w:val="21"/>
        </w:rPr>
        <w:t>）</w:t>
      </w:r>
    </w:p>
    <w:p w14:paraId="467050F5" w14:textId="77777777">
      <w:pPr>
        <w:pStyle w:val="Equation"/>
        <w:tabs>
          <w:tab w:val="center" w:pos="4507"/>
          <w:tab w:val="right" w:pos="9014"/>
        </w:tabs>
      </w:pPr>
      <w:r>
        <w:tab/>
      </w:r>
      <m:oMath>
        <m:sSub>
          <m:sSubPr>
            <m:ctrlPr/>
          </m:sSubPr>
          <m:e>
            <m:r>
              <m:rPr>
                <m:sty m:val="p"/>
              </m:rPr>
              <m:t>RC</m:t>
            </m:r>
          </m:e>
          <m:sub>
            <m:r>
              <m:t>i</m:t>
            </m:r>
          </m:sub>
        </m:sSub>
        <m:r>
          <m:t>=</m:t>
        </m:r>
        <m:f>
          <m:fPr>
            <m:ctrlPr/>
          </m:fPr>
          <m:num>
            <m:sSub>
              <m:sSubPr>
                <m:ctrlPr/>
              </m:sSubPr>
              <m:e>
                <m:r>
                  <m:t>w</m:t>
                </m:r>
              </m:e>
              <m:sub>
                <m:r>
                  <m:t>i</m:t>
                </m:r>
              </m:sub>
            </m:sSub>
            <m:sSub>
              <m:sSubPr>
                <m:ctrlPr/>
              </m:sSubPr>
              <m:e>
                <m:r>
                  <m:t>（</m:t>
                </m:r>
                <m:r>
                  <m:t>Σw</m:t>
                </m:r>
                <m:r>
                  <m:t>）</m:t>
                </m:r>
              </m:e>
              <m:sub>
                <m:r>
                  <m:t>i</m:t>
                </m:r>
              </m:sub>
            </m:sSub>
          </m:num>
          <m:den>
            <m:sSup>
              <m:sSupPr>
                <m:ctrlPr/>
              </m:sSupPr>
              <m:e>
                <m:r>
                  <m:t>w</m:t>
                </m:r>
              </m:e>
              <m:sup>
                <m:r>
                  <m:t>T</m:t>
                </m:r>
              </m:sup>
            </m:sSup>
            <m:r>
              <m:t>Σw</m:t>
            </m:r>
          </m:den>
        </m:f>
        <m:r>
          <m:t>,</m:t>
        </m:r>
        <m:nary>
          <m:naryPr>
            <m:chr m:val="∑"/>
            <m:limLoc m:val="undOvr"/>
            <m:grow m:val="1"/>
            <m:ctrlPr/>
          </m:naryPr>
          <m:sub>
            <m:r>
              <m:t>i</m:t>
            </m:r>
            <m:r>
              <m:t>=1</m:t>
            </m:r>
          </m:sub>
          <m:sup>
            <m:r>
              <m:t>n</m:t>
            </m:r>
          </m:sup>
          <m:e>
            <m:sSub>
              <m:sSubPr>
                <m:ctrlPr/>
              </m:sSubPr>
              <m:e>
                <m:r>
                  <m:rPr>
                    <m:sty m:val="p"/>
                  </m:rPr>
                  <m:t>RC</m:t>
                </m:r>
              </m:e>
              <m:sub>
                <m:r>
                  <m:t>i</m:t>
                </m:r>
              </m:sub>
            </m:sSub>
          </m:e>
        </m:nary>
        <m:r>
          <m:t>=1</m:t>
        </m:r>
      </m:oMath>
      <w:r>
        <w:rPr>
          <w:rFonts w:ascii="Times New Roman" w:hAnsi="Times New Roman" w:cs="Times New Roman"/>
          <w:sz w:val="21"/>
        </w:rPr>
        <w:tab/>
      </w:r>
      <w:r>
        <w:rPr>
          <w:rFonts w:ascii="Times New Roman" w:hAnsi="Times New Roman" w:cs="Times New Roman"/>
          <w:sz w:val="21"/>
        </w:rPr>
        <w:t>（</w:t>
      </w:r>
      <w:r>
        <w:rPr>
          <w:rFonts w:ascii="Times New Roman" w:hAnsi="Times New Roman" w:cs="Times New Roman"/>
          <w:sz w:val="21"/>
        </w:rPr>
        <w:t>4</w:t>
      </w:r>
      <w:r>
        <w:rPr>
          <w:rFonts w:ascii="Times New Roman" w:hAnsi="Times New Roman" w:cs="Times New Roman"/>
          <w:sz w:val="21"/>
        </w:rPr>
        <w:t>）</w:t>
      </w:r>
    </w:p>
    <w:p w14:paraId="5DDEA5C9" w14:textId="77777777">
      <w:pPr>
        <w:pStyle w:val="21"/>
        <w:rPr>
          <w:rFonts w:ascii="Times New Roman" w:eastAsia="宋体" w:hAnsi="Times New Roman" w:cs="Times New Roman"/>
        </w:rPr>
      </w:pPr>
      <w:r>
        <w:rPr>
          <w:rFonts w:ascii="Times New Roman" w:eastAsia="宋体" w:hAnsi="Times New Roman" w:cs="Times New Roman"/>
        </w:rPr>
        <w:t>（二）</w:t>
      </w:r>
      <w:r>
        <w:rPr>
          <w:rFonts w:ascii="Times New Roman" w:eastAsia="宋体" w:hAnsi="Times New Roman" w:cs="Times New Roman"/>
        </w:rPr>
        <w:t>ERC</w:t>
      </w:r>
      <w:r>
        <w:rPr>
          <w:rFonts w:ascii="Times New Roman" w:eastAsia="宋体" w:hAnsi="Times New Roman" w:cs="Times New Roman"/>
        </w:rPr>
        <w:t>条件与直接残差目标</w:t>
      </w:r>
    </w:p>
    <w:p w14:paraId="418B079B" w14:textId="77777777">
      <w:pPr>
        <w:jc w:val="both"/>
      </w:pPr>
      <w:r>
        <w:t>ERC</w:t>
      </w:r>
      <w:r>
        <w:t>要求每个资产承担</w:t>
      </w:r>
      <w:r>
        <w:t xml:space="preserve"> 1/n </w:t>
      </w:r>
      <w:r>
        <w:t>的组合风险；一般风险预算则要求</w:t>
      </w:r>
      <w:r>
        <w:t xml:space="preserve"> RC</w:t>
      </w:r>
      <w:r>
        <w:t>ᵢ</w:t>
      </w:r>
      <w:r>
        <w:t>=b</w:t>
      </w:r>
      <w:r>
        <w:t>ᵢ</w:t>
      </w:r>
      <w:r>
        <w:t>，其中</w:t>
      </w:r>
      <w:r>
        <w:t xml:space="preserve"> b</w:t>
      </w:r>
      <w:r>
        <w:t>ᵢ</w:t>
      </w:r>
      <w:r>
        <w:t xml:space="preserve">&gt;0 </w:t>
      </w:r>
      <w:r>
        <w:t>且</w:t>
      </w:r>
      <w:r>
        <w:t xml:space="preserve"> ∑b</w:t>
      </w:r>
      <w:r>
        <w:t>ᵢ</w:t>
      </w:r>
      <w:r>
        <w:t>=1</w:t>
      </w:r>
      <w:r>
        <w:t>。一个直观做法是在非负和资金约束下最小化实际风险贡献与目标预算的平方差，但该残差目标通常不是全局凸函数，且函数值会随协方差正比例缩放而显著改变，通用停止阈值因而缺少统一尺度。</w:t>
      </w:r>
    </w:p>
    <w:p w14:paraId="0DAF9B41" w14:textId="77777777">
      <w:pPr>
        <w:pStyle w:val="Equation"/>
        <w:tabs>
          <w:tab w:val="center" w:pos="4507"/>
          <w:tab w:val="right" w:pos="9014"/>
        </w:tabs>
      </w:pPr>
      <w:r>
        <w:tab/>
      </w:r>
      <m:oMath>
        <m:sSub>
          <m:sSubPr>
            <m:ctrlPr/>
          </m:sSubPr>
          <m:e>
            <m:r>
              <m:rPr>
                <m:sty m:val="p"/>
              </m:rPr>
              <m:t>RC</m:t>
            </m:r>
          </m:e>
          <m:sub>
            <m:r>
              <m:t>i</m:t>
            </m:r>
          </m:sub>
        </m:sSub>
        <m:r>
          <m:t>=</m:t>
        </m:r>
        <m:sSub>
          <m:sSubPr>
            <m:ctrlPr/>
          </m:sSubPr>
          <m:e>
            <m:r>
              <m:t>b</m:t>
            </m:r>
          </m:e>
          <m:sub>
            <m:r>
              <m:t>i</m:t>
            </m:r>
          </m:sub>
        </m:sSub>
        <m:r>
          <m:t>,</m:t>
        </m:r>
        <m:sSub>
          <m:sSubPr>
            <m:ctrlPr/>
          </m:sSubPr>
          <m:e>
            <m:r>
              <m:t>b</m:t>
            </m:r>
          </m:e>
          <m:sub>
            <m:r>
              <m:t>i</m:t>
            </m:r>
          </m:sub>
        </m:sSub>
        <m:r>
          <m:t>&gt;0,</m:t>
        </m:r>
        <m:nary>
          <m:naryPr>
            <m:chr m:val="∑"/>
            <m:limLoc m:val="undOvr"/>
            <m:grow m:val="1"/>
            <m:ctrlPr/>
          </m:naryPr>
          <m:sub>
            <m:r>
              <m:t>i</m:t>
            </m:r>
            <m:r>
              <m:t>=1</m:t>
            </m:r>
          </m:sub>
          <m:sup>
            <m:r>
              <m:t>n</m:t>
            </m:r>
          </m:sup>
          <m:e>
            <m:sSub>
              <m:sSubPr>
                <m:ctrlPr/>
              </m:sSubPr>
              <m:e>
                <m:r>
                  <m:t>b</m:t>
                </m:r>
              </m:e>
              <m:sub>
                <m:r>
                  <m:t>i</m:t>
                </m:r>
              </m:sub>
            </m:sSub>
          </m:e>
        </m:nary>
        <m:r>
          <m:t>=1</m:t>
        </m:r>
      </m:oMath>
      <w:r>
        <w:rPr>
          <w:rFonts w:ascii="Times New Roman" w:hAnsi="Times New Roman" w:cs="Times New Roman"/>
          <w:sz w:val="21"/>
        </w:rPr>
        <w:tab/>
      </w:r>
      <w:r>
        <w:rPr>
          <w:rFonts w:ascii="Times New Roman" w:hAnsi="Times New Roman" w:cs="Times New Roman"/>
          <w:sz w:val="21"/>
        </w:rPr>
        <w:t>（</w:t>
      </w:r>
      <w:r>
        <w:rPr>
          <w:rFonts w:ascii="Times New Roman" w:hAnsi="Times New Roman" w:cs="Times New Roman"/>
          <w:sz w:val="21"/>
        </w:rPr>
        <w:t>5</w:t>
      </w:r>
      <w:r>
        <w:rPr>
          <w:rFonts w:ascii="Times New Roman" w:hAnsi="Times New Roman" w:cs="Times New Roman"/>
          <w:sz w:val="21"/>
        </w:rPr>
        <w:t>）</w:t>
      </w:r>
    </w:p>
    <w:p w14:paraId="24E3CD34" w14:textId="77777777">
      <w:pPr>
        <w:pStyle w:val="Equation"/>
        <w:tabs>
          <w:tab w:val="center" w:pos="4507"/>
          <w:tab w:val="right" w:pos="9014"/>
        </w:tabs>
      </w:pPr>
      <w:r>
        <w:tab/>
      </w:r>
      <m:oMath>
        <m:limUpp>
          <m:limUppPr>
            <m:ctrlPr/>
          </m:limUppPr>
          <m:e>
            <m:limLow>
              <m:limLowPr>
                <m:ctrlPr/>
              </m:limLowPr>
              <m:e>
                <m:r>
                  <m:t>min</m:t>
                </m:r>
              </m:e>
              <m:lim>
                <m:r>
                  <m:t>w</m:t>
                </m:r>
                <m:r>
                  <m:t>≥0</m:t>
                </m:r>
              </m:lim>
            </m:limLow>
          </m:e>
          <m:lim>
            <m:r>
              <m:t>1</m:t>
            </m:r>
            <m:r>
              <m:t>ᵀ</m:t>
            </m:r>
            <m:r>
              <m:t>w</m:t>
            </m:r>
            <m:r>
              <m:t>=1</m:t>
            </m:r>
          </m:lim>
        </m:limUpp>
        <m:nary>
          <m:naryPr>
            <m:chr m:val="∑"/>
            <m:limLoc m:val="undOvr"/>
            <m:grow m:val="1"/>
            <m:ctrlPr/>
          </m:naryPr>
          <m:sub>
            <m:r>
              <m:t>i</m:t>
            </m:r>
            <m:r>
              <m:t>=1</m:t>
            </m:r>
          </m:sub>
          <m:sup>
            <m:r>
              <m:t>n</m:t>
            </m:r>
          </m:sup>
          <m:e>
            <m:sSup>
              <m:sSupPr>
                <m:ctrlPr/>
              </m:sSupPr>
              <m:e>
                <m:r>
                  <m:t>（</m:t>
                </m:r>
                <m:sSub>
                  <m:sSubPr>
                    <m:ctrlPr/>
                  </m:sSubPr>
                  <m:e>
                    <m:r>
                      <m:rPr>
                        <m:sty m:val="p"/>
                      </m:rPr>
                      <m:t>RC</m:t>
                    </m:r>
                  </m:e>
                  <m:sub>
                    <m:r>
                      <m:t>i</m:t>
                    </m:r>
                  </m:sub>
                </m:sSub>
                <m:r>
                  <m:t>-</m:t>
                </m:r>
                <m:sSub>
                  <m:sSubPr>
                    <m:ctrlPr/>
                  </m:sSubPr>
                  <m:e>
                    <m:r>
                      <m:t>b</m:t>
                    </m:r>
                  </m:e>
                  <m:sub>
                    <m:r>
                      <m:t>i</m:t>
                    </m:r>
                  </m:sub>
                </m:sSub>
                <m:r>
                  <m:t>）</m:t>
                </m:r>
              </m:e>
              <m:sup>
                <m:r>
                  <m:t>2</m:t>
                </m:r>
              </m:sup>
            </m:sSup>
          </m:e>
        </m:nary>
      </m:oMath>
      <w:r>
        <w:rPr>
          <w:rFonts w:ascii="Times New Roman" w:hAnsi="Times New Roman" w:cs="Times New Roman"/>
          <w:sz w:val="21"/>
        </w:rPr>
        <w:tab/>
      </w:r>
      <w:r>
        <w:rPr>
          <w:rFonts w:ascii="Times New Roman" w:hAnsi="Times New Roman" w:cs="Times New Roman"/>
          <w:sz w:val="21"/>
        </w:rPr>
        <w:t>（</w:t>
      </w:r>
      <w:r>
        <w:rPr>
          <w:rFonts w:ascii="Times New Roman" w:hAnsi="Times New Roman" w:cs="Times New Roman"/>
          <w:sz w:val="21"/>
        </w:rPr>
        <w:t>6</w:t>
      </w:r>
      <w:r>
        <w:rPr>
          <w:rFonts w:ascii="Times New Roman" w:hAnsi="Times New Roman" w:cs="Times New Roman"/>
          <w:sz w:val="21"/>
        </w:rPr>
        <w:t>）</w:t>
      </w:r>
    </w:p>
    <w:p w14:paraId="52440D65" w14:textId="77777777">
      <w:pPr>
        <w:pStyle w:val="21"/>
        <w:rPr>
          <w:rFonts w:ascii="Times New Roman" w:eastAsia="宋体" w:hAnsi="Times New Roman" w:cs="Times New Roman"/>
        </w:rPr>
      </w:pPr>
      <w:r>
        <w:rPr>
          <w:rFonts w:ascii="Times New Roman" w:eastAsia="宋体" w:hAnsi="Times New Roman" w:cs="Times New Roman"/>
        </w:rPr>
        <w:t>（三）对数障碍凸模型</w:t>
      </w:r>
    </w:p>
    <w:p w14:paraId="17C2BCCD" w14:textId="77777777">
      <w:pPr>
        <w:jc w:val="both"/>
      </w:pPr>
      <w:r>
        <w:t>在正权重域上，引入二次风险项与带预算系数的对数障碍项。若</w:t>
      </w:r>
      <w:r>
        <w:t xml:space="preserve"> Σ </w:t>
      </w:r>
      <w:r>
        <w:t>正定且预算严格为正，二次项为凸函数，负对数项具有正定对角</w:t>
      </w:r>
      <w:r>
        <w:t xml:space="preserve"> Hessian</w:t>
      </w:r>
      <w:r>
        <w:t>，因而总目标严格凸并存在唯一极小点</w:t>
      </w:r>
      <w:r>
        <w:t>[5-6]</w:t>
      </w:r>
      <w:r>
        <w:t>。优化变量</w:t>
      </w:r>
      <w:r>
        <w:t xml:space="preserve"> x </w:t>
      </w:r>
      <w:r>
        <w:t>不施加资金和约束；求得正向量后以</w:t>
      </w:r>
      <w:r>
        <w:t xml:space="preserve"> w=x/(1</w:t>
      </w:r>
      <w:r>
        <w:t>ᵀ</w:t>
      </w:r>
      <w:r>
        <w:t xml:space="preserve">x) </w:t>
      </w:r>
      <w:r>
        <w:t>归一化即可恢复资金权重。</w:t>
      </w:r>
    </w:p>
    <w:p w14:paraId="24D1C789" w14:textId="77777777">
      <w:pPr>
        <w:pStyle w:val="Equation"/>
        <w:tabs>
          <w:tab w:val="center" w:pos="4507"/>
          <w:tab w:val="right" w:pos="9014"/>
        </w:tabs>
      </w:pPr>
      <w:r>
        <w:tab/>
      </w:r>
      <m:oMath>
        <m:limUpp>
          <m:limUppPr>
            <m:ctrlPr/>
          </m:limUppPr>
          <m:e>
            <m:limLow>
              <m:limLowPr>
                <m:ctrlPr/>
              </m:limLowPr>
              <m:e>
                <m:r>
                  <m:t>min</m:t>
                </m:r>
              </m:e>
              <m:lim>
                <m:r>
                  <m:t>x</m:t>
                </m:r>
              </m:lim>
            </m:limLow>
          </m:e>
          <m:lim>
            <m:r>
              <m:t>x</m:t>
            </m:r>
            <m:r>
              <m:t>&gt;0</m:t>
            </m:r>
          </m:lim>
        </m:limUpp>
        <m:r>
          <m:t>f</m:t>
        </m:r>
        <m:r>
          <m:t>（</m:t>
        </m:r>
        <m:r>
          <m:t>x</m:t>
        </m:r>
        <m:r>
          <m:t>）</m:t>
        </m:r>
        <m:r>
          <m:t>=</m:t>
        </m:r>
        <m:f>
          <m:fPr>
            <m:ctrlPr/>
          </m:fPr>
          <m:num>
            <m:r>
              <m:t>1</m:t>
            </m:r>
          </m:num>
          <m:den>
            <m:r>
              <m:t>2</m:t>
            </m:r>
          </m:den>
        </m:f>
        <m:sSup>
          <m:sSupPr>
            <m:ctrlPr/>
          </m:sSupPr>
          <m:e>
            <m:r>
              <m:t>x</m:t>
            </m:r>
          </m:e>
          <m:sup>
            <m:r>
              <m:t>T</m:t>
            </m:r>
          </m:sup>
        </m:sSup>
        <m:r>
          <m:t>Σx</m:t>
        </m:r>
        <m:r>
          <m:t>-</m:t>
        </m:r>
        <m:nary>
          <m:naryPr>
            <m:chr m:val="∑"/>
            <m:limLoc m:val="undOvr"/>
            <m:grow m:val="1"/>
            <m:ctrlPr/>
          </m:naryPr>
          <m:sub>
            <m:r>
              <m:t>i</m:t>
            </m:r>
            <m:r>
              <m:t>=1</m:t>
            </m:r>
          </m:sub>
          <m:sup>
            <m:r>
              <m:t>n</m:t>
            </m:r>
          </m:sup>
          <m:e>
            <m:sSub>
              <m:sSubPr>
                <m:ctrlPr/>
              </m:sSubPr>
              <m:e>
                <m:r>
                  <m:t>b</m:t>
                </m:r>
              </m:e>
              <m:sub>
                <m:r>
                  <m:t>i</m:t>
                </m:r>
              </m:sub>
            </m:sSub>
          </m:e>
        </m:nary>
        <m:r>
          <m:rPr>
            <m:sty m:val="p"/>
          </m:rPr>
          <m:t>log</m:t>
        </m:r>
        <m:sSub>
          <m:sSubPr>
            <m:ctrlPr/>
          </m:sSubPr>
          <m:e>
            <m:r>
              <m:t>x</m:t>
            </m:r>
          </m:e>
          <m:sub>
            <m:r>
              <m:t>i</m:t>
            </m:r>
          </m:sub>
        </m:sSub>
      </m:oMath>
      <w:r>
        <w:rPr>
          <w:rFonts w:ascii="Times New Roman" w:hAnsi="Times New Roman" w:cs="Times New Roman"/>
          <w:sz w:val="21"/>
        </w:rPr>
        <w:tab/>
      </w:r>
      <w:r>
        <w:rPr>
          <w:rFonts w:ascii="Times New Roman" w:hAnsi="Times New Roman" w:cs="Times New Roman"/>
          <w:sz w:val="21"/>
        </w:rPr>
        <w:t>（</w:t>
      </w:r>
      <w:r>
        <w:rPr>
          <w:rFonts w:ascii="Times New Roman" w:hAnsi="Times New Roman" w:cs="Times New Roman"/>
          <w:sz w:val="21"/>
        </w:rPr>
        <w:t>7</w:t>
      </w:r>
      <w:r>
        <w:rPr>
          <w:rFonts w:ascii="Times New Roman" w:hAnsi="Times New Roman" w:cs="Times New Roman"/>
          <w:sz w:val="21"/>
        </w:rPr>
        <w:t>）</w:t>
      </w:r>
    </w:p>
    <w:p w14:paraId="1EE09C0D" w14:textId="77777777">
      <w:pPr>
        <w:pStyle w:val="21"/>
        <w:rPr>
          <w:rFonts w:ascii="Times New Roman" w:eastAsia="宋体" w:hAnsi="Times New Roman" w:cs="Times New Roman"/>
        </w:rPr>
      </w:pPr>
      <w:r>
        <w:rPr>
          <w:rFonts w:ascii="Times New Roman" w:eastAsia="宋体" w:hAnsi="Times New Roman" w:cs="Times New Roman"/>
        </w:rPr>
        <w:t>（四）梯度、</w:t>
      </w:r>
      <w:r>
        <w:rPr>
          <w:rFonts w:ascii="Times New Roman" w:eastAsia="宋体" w:hAnsi="Times New Roman" w:cs="Times New Roman"/>
        </w:rPr>
        <w:t>Hessian</w:t>
      </w:r>
      <w:r>
        <w:rPr>
          <w:rFonts w:ascii="Times New Roman" w:eastAsia="宋体" w:hAnsi="Times New Roman" w:cs="Times New Roman"/>
        </w:rPr>
        <w:t>与</w:t>
      </w:r>
      <w:r>
        <w:rPr>
          <w:rFonts w:ascii="Times New Roman" w:eastAsia="宋体" w:hAnsi="Times New Roman" w:cs="Times New Roman"/>
        </w:rPr>
        <w:t>KKT</w:t>
      </w:r>
      <w:r>
        <w:rPr>
          <w:rFonts w:ascii="Times New Roman" w:eastAsia="宋体" w:hAnsi="Times New Roman" w:cs="Times New Roman"/>
        </w:rPr>
        <w:t>条件</w:t>
      </w:r>
    </w:p>
    <w:p w14:paraId="29CF6AED" w14:textId="77777777">
      <w:pPr>
        <w:jc w:val="both"/>
      </w:pPr>
      <w:r>
        <w:t>解析梯度和</w:t>
      </w:r>
      <w:r>
        <w:t>Hessian</w:t>
      </w:r>
      <w:r>
        <w:t>既证明严格凸性，也直接用于</w:t>
      </w:r>
      <w:r>
        <w:t>Newton</w:t>
      </w:r>
      <w:r>
        <w:t>迭代。</w:t>
      </w:r>
      <w:r>
        <w:t>Hessian</w:t>
      </w:r>
      <w:r>
        <w:t>是正定风险矩阵与正对角矩阵之和，因此可行域内的</w:t>
      </w:r>
      <w:r>
        <w:t>Newton</w:t>
      </w:r>
      <w:r>
        <w:t>方向唯一。一阶最优条件逐元素乘以</w:t>
      </w:r>
      <w:r>
        <w:t>x</w:t>
      </w:r>
      <w:r>
        <w:t>后得到</w:t>
      </w:r>
      <w:r>
        <w:t xml:space="preserve"> x</w:t>
      </w:r>
      <w:r>
        <w:t>ᵢ</w:t>
      </w:r>
      <w:r>
        <w:t>(Σx)</w:t>
      </w:r>
      <w:r>
        <w:t>ᵢ</w:t>
      </w:r>
      <w:r>
        <w:t>=b</w:t>
      </w:r>
      <w:r>
        <w:t>ᵢ</w:t>
      </w:r>
      <w:r>
        <w:t>；再利用归一化和</w:t>
      </w:r>
      <w:r>
        <w:t>Euler</w:t>
      </w:r>
      <w:r>
        <w:t>分解，即得到</w:t>
      </w:r>
      <w:r>
        <w:t xml:space="preserve"> RC</w:t>
      </w:r>
      <w:r>
        <w:t>ᵢ</w:t>
      </w:r>
      <w:r>
        <w:t>=b</w:t>
      </w:r>
      <w:r>
        <w:t>ᵢ</w:t>
      </w:r>
      <w:r>
        <w:t>。因此，凸模型不是对风险预算方程的近似，而是其在正权重域中的等价求解形式。</w:t>
      </w:r>
    </w:p>
    <w:p w14:paraId="1545D586" w14:textId="77777777">
      <w:pPr>
        <w:jc w:val="both"/>
      </w:pPr>
      <w:r>
        <w:t>该重构还区分了方向与尺度两个层次。风险贡献只取决于权重射线，最终资金约束通过归一化施加；凸目标中的对数项则为变量</w:t>
      </w:r>
      <w:r>
        <w:t>x</w:t>
      </w:r>
      <w:r>
        <w:t>选择唯一尺度。将一阶条件求和可得</w:t>
      </w:r>
      <w:r>
        <w:t>x</w:t>
      </w:r>
      <w:r>
        <w:t>ᵀ</w:t>
      </w:r>
      <w:r>
        <w:t>Σx=∑b</w:t>
      </w:r>
      <w:r>
        <w:t>ᵢ</w:t>
      </w:r>
      <w:r>
        <w:t>=1</w:t>
      </w:r>
      <w:r>
        <w:t>，故最优点的尺度由预算总和自动固定。若经验风险矩阵仅为半正定，对角正则项使二次项具有严格曲率，并改善</w:t>
      </w:r>
      <w:r>
        <w:t>Hessian</w:t>
      </w:r>
      <w:r>
        <w:t>的条件数；因此正则化既服务于理论唯一性，也服务于有限精度下的线性求解。</w:t>
      </w:r>
    </w:p>
    <w:p w14:paraId="331D3DD6" w14:textId="77777777">
      <w:pPr>
        <w:pStyle w:val="Equation"/>
        <w:tabs>
          <w:tab w:val="center" w:pos="4507"/>
          <w:tab w:val="right" w:pos="9014"/>
        </w:tabs>
      </w:pPr>
      <w:r>
        <w:lastRenderedPageBreak/>
        <w:tab/>
      </w:r>
      <m:oMath>
        <m:r>
          <m:t>∇f</m:t>
        </m:r>
        <m:r>
          <m:t>（</m:t>
        </m:r>
        <m:r>
          <m:t>x</m:t>
        </m:r>
        <m:r>
          <m:t>）</m:t>
        </m:r>
        <m:r>
          <m:t>=</m:t>
        </m:r>
        <m:r>
          <m:t>Σx</m:t>
        </m:r>
        <m:r>
          <m:t>-</m:t>
        </m:r>
        <m:r>
          <m:t>b</m:t>
        </m:r>
        <m:r>
          <m:t>⊘</m:t>
        </m:r>
        <m:r>
          <m:t>x</m:t>
        </m:r>
      </m:oMath>
      <w:r>
        <w:rPr>
          <w:rFonts w:ascii="Times New Roman" w:hAnsi="Times New Roman" w:cs="Times New Roman"/>
          <w:sz w:val="21"/>
        </w:rPr>
        <w:tab/>
      </w:r>
      <w:r>
        <w:rPr>
          <w:rFonts w:ascii="Times New Roman" w:hAnsi="Times New Roman" w:cs="Times New Roman"/>
          <w:sz w:val="21"/>
        </w:rPr>
        <w:t>（</w:t>
      </w:r>
      <w:r>
        <w:rPr>
          <w:rFonts w:ascii="Times New Roman" w:hAnsi="Times New Roman" w:cs="Times New Roman"/>
          <w:sz w:val="21"/>
        </w:rPr>
        <w:t>8</w:t>
      </w:r>
      <w:r>
        <w:rPr>
          <w:rFonts w:ascii="Times New Roman" w:hAnsi="Times New Roman" w:cs="Times New Roman"/>
          <w:sz w:val="21"/>
        </w:rPr>
        <w:t>）</w:t>
      </w:r>
    </w:p>
    <w:p w14:paraId="03DA1183" w14:textId="77777777">
      <w:pPr>
        <w:pStyle w:val="Equation"/>
        <w:tabs>
          <w:tab w:val="center" w:pos="4507"/>
          <w:tab w:val="right" w:pos="9014"/>
        </w:tabs>
      </w:pPr>
      <w:r>
        <w:tab/>
      </w:r>
      <m:oMath>
        <m:sSup>
          <m:sSupPr>
            <m:ctrlPr/>
          </m:sSupPr>
          <m:e>
            <m:r>
              <m:t>∇</m:t>
            </m:r>
          </m:e>
          <m:sup>
            <m:r>
              <m:t>2</m:t>
            </m:r>
          </m:sup>
        </m:sSup>
        <m:r>
          <m:t>f</m:t>
        </m:r>
        <m:r>
          <m:t>（</m:t>
        </m:r>
        <m:r>
          <m:t>x</m:t>
        </m:r>
        <m:r>
          <m:t>）</m:t>
        </m:r>
        <m:r>
          <m:t>=</m:t>
        </m:r>
        <m:r>
          <m:t>Σ</m:t>
        </m:r>
        <m:r>
          <m:t>+</m:t>
        </m:r>
        <m:r>
          <m:rPr>
            <m:sty m:val="p"/>
          </m:rPr>
          <m:t>diag</m:t>
        </m:r>
        <m:r>
          <m:t>（</m:t>
        </m:r>
        <m:sSub>
          <m:sSubPr>
            <m:ctrlPr/>
          </m:sSubPr>
          <m:e>
            <m:r>
              <m:t>b</m:t>
            </m:r>
          </m:e>
          <m:sub>
            <m:r>
              <m:t>i</m:t>
            </m:r>
          </m:sub>
        </m:sSub>
        <m:r>
          <m:t>/</m:t>
        </m:r>
        <m:sSubSup>
          <m:sSubSupPr>
            <m:ctrlPr/>
          </m:sSubSupPr>
          <m:e>
            <m:r>
              <m:t>x</m:t>
            </m:r>
          </m:e>
          <m:sub>
            <m:r>
              <m:t>i</m:t>
            </m:r>
          </m:sub>
          <m:sup>
            <m:r>
              <m:t>2</m:t>
            </m:r>
          </m:sup>
        </m:sSubSup>
        <m:r>
          <m:t>）</m:t>
        </m:r>
        <m:r>
          <m:t>≻</m:t>
        </m:r>
        <m:r>
          <m:t>0</m:t>
        </m:r>
      </m:oMath>
      <w:r>
        <w:rPr>
          <w:rFonts w:ascii="Times New Roman" w:hAnsi="Times New Roman" w:cs="Times New Roman"/>
          <w:sz w:val="21"/>
        </w:rPr>
        <w:tab/>
      </w:r>
      <w:r>
        <w:rPr>
          <w:rFonts w:ascii="Times New Roman" w:hAnsi="Times New Roman" w:cs="Times New Roman"/>
          <w:sz w:val="21"/>
        </w:rPr>
        <w:t>（</w:t>
      </w:r>
      <w:r>
        <w:rPr>
          <w:rFonts w:ascii="Times New Roman" w:hAnsi="Times New Roman" w:cs="Times New Roman"/>
          <w:sz w:val="21"/>
        </w:rPr>
        <w:t>9</w:t>
      </w:r>
      <w:r>
        <w:rPr>
          <w:rFonts w:ascii="Times New Roman" w:hAnsi="Times New Roman" w:cs="Times New Roman"/>
          <w:sz w:val="21"/>
        </w:rPr>
        <w:t>）</w:t>
      </w:r>
    </w:p>
    <w:p w14:paraId="5FDE8F1A" w14:textId="77777777">
      <w:pPr>
        <w:pStyle w:val="Equation"/>
        <w:tabs>
          <w:tab w:val="center" w:pos="4507"/>
          <w:tab w:val="right" w:pos="9014"/>
        </w:tabs>
      </w:pPr>
      <w:r>
        <w:tab/>
      </w:r>
      <m:oMath>
        <m:r>
          <m:t>Σx</m:t>
        </m:r>
        <m:r>
          <m:t>-</m:t>
        </m:r>
        <m:r>
          <m:t>b</m:t>
        </m:r>
        <m:r>
          <m:t>⊘</m:t>
        </m:r>
        <m:r>
          <m:t>x</m:t>
        </m:r>
        <m:r>
          <m:t>=0⇒</m:t>
        </m:r>
        <m:sSub>
          <m:sSubPr>
            <m:ctrlPr/>
          </m:sSubPr>
          <m:e>
            <m:r>
              <m:t>x</m:t>
            </m:r>
          </m:e>
          <m:sub>
            <m:r>
              <m:t>i</m:t>
            </m:r>
          </m:sub>
        </m:sSub>
        <m:sSub>
          <m:sSubPr>
            <m:ctrlPr/>
          </m:sSubPr>
          <m:e>
            <m:r>
              <m:t>（</m:t>
            </m:r>
            <m:r>
              <m:t>Σx</m:t>
            </m:r>
            <m:r>
              <m:t>）</m:t>
            </m:r>
          </m:e>
          <m:sub>
            <m:r>
              <m:t>i</m:t>
            </m:r>
          </m:sub>
        </m:sSub>
        <m:r>
          <m:t>=</m:t>
        </m:r>
        <m:sSub>
          <m:sSubPr>
            <m:ctrlPr/>
          </m:sSubPr>
          <m:e>
            <m:r>
              <m:t>b</m:t>
            </m:r>
          </m:e>
          <m:sub>
            <m:r>
              <m:t>i</m:t>
            </m:r>
          </m:sub>
        </m:sSub>
      </m:oMath>
      <w:r>
        <w:rPr>
          <w:rFonts w:ascii="Times New Roman" w:hAnsi="Times New Roman" w:cs="Times New Roman"/>
          <w:sz w:val="21"/>
        </w:rPr>
        <w:tab/>
      </w:r>
      <w:r>
        <w:rPr>
          <w:rFonts w:ascii="Times New Roman" w:hAnsi="Times New Roman" w:cs="Times New Roman"/>
          <w:sz w:val="21"/>
        </w:rPr>
        <w:t>（</w:t>
      </w:r>
      <w:r>
        <w:rPr>
          <w:rFonts w:ascii="Times New Roman" w:hAnsi="Times New Roman" w:cs="Times New Roman"/>
          <w:sz w:val="21"/>
        </w:rPr>
        <w:t>10</w:t>
      </w:r>
      <w:r>
        <w:rPr>
          <w:rFonts w:ascii="Times New Roman" w:hAnsi="Times New Roman" w:cs="Times New Roman"/>
          <w:sz w:val="21"/>
        </w:rPr>
        <w:t>）</w:t>
      </w:r>
    </w:p>
    <w:p w14:paraId="7824C158" w14:textId="77777777">
      <w:pPr>
        <w:pStyle w:val="1"/>
        <w:rPr>
          <w:rFonts w:ascii="Times New Roman" w:eastAsia="宋体" w:hAnsi="Times New Roman" w:cs="Times New Roman"/>
        </w:rPr>
      </w:pPr>
      <w:bookmarkStart w:id="4" w:name="_Toc235027243"/>
      <w:r>
        <w:rPr>
          <w:rFonts w:ascii="Times New Roman" w:eastAsia="宋体" w:hAnsi="Times New Roman" w:cs="Times New Roman"/>
        </w:rPr>
        <w:t>四、阻尼牛顿求解算法</w:t>
      </w:r>
      <w:bookmarkEnd w:id="4"/>
    </w:p>
    <w:p w14:paraId="351A3233" w14:textId="77777777">
      <w:pPr>
        <w:pStyle w:val="21"/>
        <w:rPr>
          <w:rFonts w:ascii="Times New Roman" w:eastAsia="宋体" w:hAnsi="Times New Roman" w:cs="Times New Roman"/>
        </w:rPr>
      </w:pPr>
      <w:r>
        <w:rPr>
          <w:rFonts w:ascii="Times New Roman" w:eastAsia="宋体" w:hAnsi="Times New Roman" w:cs="Times New Roman"/>
        </w:rPr>
        <w:t>（一）</w:t>
      </w:r>
      <w:r>
        <w:rPr>
          <w:rFonts w:ascii="Times New Roman" w:eastAsia="宋体" w:hAnsi="Times New Roman" w:cs="Times New Roman"/>
        </w:rPr>
        <w:t>Newton</w:t>
      </w:r>
      <w:r>
        <w:rPr>
          <w:rFonts w:ascii="Times New Roman" w:eastAsia="宋体" w:hAnsi="Times New Roman" w:cs="Times New Roman"/>
        </w:rPr>
        <w:t>方向与正权重步长</w:t>
      </w:r>
    </w:p>
    <w:p w14:paraId="4904914A" w14:textId="77777777">
      <w:pPr>
        <w:jc w:val="both"/>
      </w:pPr>
      <w:r>
        <w:t>在第</w:t>
      </w:r>
      <w:r>
        <w:t>k</w:t>
      </w:r>
      <w:r>
        <w:t>次迭代中，通过求解线性方程</w:t>
      </w:r>
      <w:r>
        <w:t xml:space="preserve"> Hₖpₖ=−gₖ </w:t>
      </w:r>
      <w:r>
        <w:t>得到</w:t>
      </w:r>
      <w:r>
        <w:t xml:space="preserve"> Newton </w:t>
      </w:r>
      <w:r>
        <w:t>方向，不显式计算</w:t>
      </w:r>
      <w:r>
        <w:t xml:space="preserve"> Hessian </w:t>
      </w:r>
      <w:r>
        <w:t>的逆。由于</w:t>
      </w:r>
      <w:r>
        <w:t xml:space="preserve"> Hₖ </w:t>
      </w:r>
      <w:r>
        <w:t>正定，梯度非零时有</w:t>
      </w:r>
      <w:r>
        <w:t xml:space="preserve"> gₖ</w:t>
      </w:r>
      <w:r>
        <w:t>ᵀ</w:t>
      </w:r>
      <w:r>
        <w:t>pₖ&lt;0</w:t>
      </w:r>
      <w:r>
        <w:t>。纯</w:t>
      </w:r>
      <w:r>
        <w:t xml:space="preserve"> Newton </w:t>
      </w:r>
      <w:r>
        <w:t>步仍可能越出正权重域，因此先依据</w:t>
      </w:r>
      <w:r>
        <w:t xml:space="preserve"> pₖ </w:t>
      </w:r>
      <w:r>
        <w:t>中的负分量计算最大可行步长，并乘以安全系数，使每次候选点都满足</w:t>
      </w:r>
      <w:r>
        <w:t xml:space="preserve"> xₖ+αpₖ&gt;0</w:t>
      </w:r>
      <w:r>
        <w:t>。</w:t>
      </w:r>
    </w:p>
    <w:p w14:paraId="4F4697A7" w14:textId="77777777">
      <w:pPr>
        <w:pStyle w:val="Equation"/>
        <w:tabs>
          <w:tab w:val="center" w:pos="4507"/>
          <w:tab w:val="right" w:pos="9014"/>
        </w:tabs>
      </w:pPr>
      <w:r>
        <w:tab/>
      </w:r>
      <m:oMath>
        <m:sSub>
          <m:sSubPr>
            <m:ctrlPr/>
          </m:sSubPr>
          <m:e>
            <m:r>
              <m:t>H</m:t>
            </m:r>
          </m:e>
          <m:sub>
            <m:r>
              <m:t>k</m:t>
            </m:r>
          </m:sub>
        </m:sSub>
        <m:sSub>
          <m:sSubPr>
            <m:ctrlPr/>
          </m:sSubPr>
          <m:e>
            <m:r>
              <m:t>p</m:t>
            </m:r>
          </m:e>
          <m:sub>
            <m:r>
              <m:t>k</m:t>
            </m:r>
          </m:sub>
        </m:sSub>
        <m:r>
          <m:t>=-</m:t>
        </m:r>
        <m:sSub>
          <m:sSubPr>
            <m:ctrlPr/>
          </m:sSubPr>
          <m:e>
            <m:r>
              <m:t>g</m:t>
            </m:r>
          </m:e>
          <m:sub>
            <m:r>
              <m:t>k</m:t>
            </m:r>
          </m:sub>
        </m:sSub>
        <m:r>
          <m:t>,</m:t>
        </m:r>
        <m:sSub>
          <m:sSubPr>
            <m:ctrlPr/>
          </m:sSubPr>
          <m:e>
            <m:r>
              <m:t>g</m:t>
            </m:r>
          </m:e>
          <m:sub>
            <m:r>
              <m:t>k</m:t>
            </m:r>
          </m:sub>
        </m:sSub>
        <m:r>
          <m:t>=</m:t>
        </m:r>
        <m:r>
          <m:t>∇f</m:t>
        </m:r>
        <m:r>
          <m:t>（</m:t>
        </m:r>
        <m:sSub>
          <m:sSubPr>
            <m:ctrlPr/>
          </m:sSubPr>
          <m:e>
            <m:r>
              <m:t>x</m:t>
            </m:r>
          </m:e>
          <m:sub>
            <m:r>
              <m:t>k</m:t>
            </m:r>
          </m:sub>
        </m:sSub>
        <m:r>
          <m:t>）</m:t>
        </m:r>
      </m:oMath>
      <w:r>
        <w:rPr>
          <w:rFonts w:ascii="Times New Roman" w:hAnsi="Times New Roman" w:cs="Times New Roman"/>
          <w:sz w:val="21"/>
        </w:rPr>
        <w:tab/>
      </w:r>
      <w:r>
        <w:rPr>
          <w:rFonts w:ascii="Times New Roman" w:hAnsi="Times New Roman" w:cs="Times New Roman"/>
          <w:sz w:val="21"/>
        </w:rPr>
        <w:t>（</w:t>
      </w:r>
      <w:r>
        <w:rPr>
          <w:rFonts w:ascii="Times New Roman" w:hAnsi="Times New Roman" w:cs="Times New Roman"/>
          <w:sz w:val="21"/>
        </w:rPr>
        <w:t>11</w:t>
      </w:r>
      <w:r>
        <w:rPr>
          <w:rFonts w:ascii="Times New Roman" w:hAnsi="Times New Roman" w:cs="Times New Roman"/>
          <w:sz w:val="21"/>
        </w:rPr>
        <w:t>）</w:t>
      </w:r>
    </w:p>
    <w:p w14:paraId="6234BE5A" w14:textId="77777777">
      <w:pPr>
        <w:pStyle w:val="21"/>
        <w:rPr>
          <w:rFonts w:ascii="Times New Roman" w:eastAsia="宋体" w:hAnsi="Times New Roman" w:cs="Times New Roman"/>
        </w:rPr>
      </w:pPr>
      <w:r>
        <w:rPr>
          <w:rFonts w:ascii="Times New Roman" w:eastAsia="宋体" w:hAnsi="Times New Roman" w:cs="Times New Roman"/>
        </w:rPr>
        <w:t>（二）</w:t>
      </w:r>
      <w:r>
        <w:rPr>
          <w:rFonts w:ascii="Times New Roman" w:eastAsia="宋体" w:hAnsi="Times New Roman" w:cs="Times New Roman"/>
        </w:rPr>
        <w:t>Armijo</w:t>
      </w:r>
      <w:r>
        <w:rPr>
          <w:rFonts w:ascii="Times New Roman" w:eastAsia="宋体" w:hAnsi="Times New Roman" w:cs="Times New Roman"/>
        </w:rPr>
        <w:t>回溯与停止条件</w:t>
      </w:r>
    </w:p>
    <w:p w14:paraId="1C7776FD" w14:textId="77777777">
      <w:pPr>
        <w:jc w:val="both"/>
      </w:pPr>
      <w:r>
        <w:t>可行步长只保证变量为正，还需</w:t>
      </w:r>
      <w:r>
        <w:t>Armijo</w:t>
      </w:r>
      <w:r>
        <w:t>条件保证目标函数获得与方向导数相匹配的充分下降。若条件不成立，步长按固定比例回退。算法以无穷范数梯度、步长变化和最大迭代次数作为内部停止条件；归一化后重新计算</w:t>
      </w:r>
      <w:r>
        <w:t>RC</w:t>
      </w:r>
      <w:r>
        <w:t>误差和权重和误差，只有最大绝对</w:t>
      </w:r>
      <w:r>
        <w:t>RC</w:t>
      </w:r>
      <w:r>
        <w:t>偏差不超过</w:t>
      </w:r>
      <w:r>
        <w:t>10⁻⁶</w:t>
      </w:r>
      <w:r>
        <w:t>时才视为金融目标达标。</w:t>
      </w:r>
    </w:p>
    <w:p w14:paraId="2E1C77CA" w14:textId="77777777">
      <w:pPr>
        <w:jc w:val="both"/>
      </w:pPr>
      <w:r>
        <w:t>阻尼机制兼顾全局稳定性与局部速度：远离最优点时，回溯线搜索缩短过于激进的</w:t>
      </w:r>
      <w:r>
        <w:t>Newton</w:t>
      </w:r>
      <w:r>
        <w:t>步，使目标值沿下降方向稳定减少；进入最优点邻域后，单位步长通常能够直接被接受，并恢复</w:t>
      </w:r>
      <w:r>
        <w:t>Newton</w:t>
      </w:r>
      <w:r>
        <w:t>法的快速局部收敛。由于计算机中的梯度为小并不必然意味着归一化风险贡献已达标，本文将优化停止与经济约束验收分开记录。这一双重准则也使不同算法的比较不依赖各软件包对</w:t>
      </w:r>
      <w:r>
        <w:t>success</w:t>
      </w:r>
      <w:r>
        <w:t>状态的定义。</w:t>
      </w:r>
    </w:p>
    <w:p w14:paraId="152C5CD9" w14:textId="77777777">
      <w:pPr>
        <w:pStyle w:val="Equation"/>
        <w:tabs>
          <w:tab w:val="center" w:pos="4507"/>
          <w:tab w:val="right" w:pos="9014"/>
        </w:tabs>
      </w:pPr>
      <w:r>
        <w:tab/>
      </w:r>
      <m:oMath>
        <m:r>
          <m:t>f</m:t>
        </m:r>
        <m:r>
          <m:t>（</m:t>
        </m:r>
        <m:sSub>
          <m:sSubPr>
            <m:ctrlPr/>
          </m:sSubPr>
          <m:e>
            <m:r>
              <m:t>x</m:t>
            </m:r>
          </m:e>
          <m:sub>
            <m:r>
              <m:t>k</m:t>
            </m:r>
          </m:sub>
        </m:sSub>
        <m:r>
          <m:t>+</m:t>
        </m:r>
        <m:r>
          <m:t>α</m:t>
        </m:r>
        <m:sSub>
          <m:sSubPr>
            <m:ctrlPr/>
          </m:sSubPr>
          <m:e>
            <m:r>
              <m:t>p</m:t>
            </m:r>
          </m:e>
          <m:sub>
            <m:r>
              <m:t>k</m:t>
            </m:r>
          </m:sub>
        </m:sSub>
        <m:r>
          <m:t>）</m:t>
        </m:r>
        <m:r>
          <m:t>≤</m:t>
        </m:r>
        <m:r>
          <m:t>f</m:t>
        </m:r>
        <m:r>
          <m:t>（</m:t>
        </m:r>
        <m:sSub>
          <m:sSubPr>
            <m:ctrlPr/>
          </m:sSubPr>
          <m:e>
            <m:r>
              <m:t>x</m:t>
            </m:r>
          </m:e>
          <m:sub>
            <m:r>
              <m:t>k</m:t>
            </m:r>
          </m:sub>
        </m:sSub>
        <m:r>
          <m:t>）</m:t>
        </m:r>
        <m:r>
          <m:t>+</m:t>
        </m:r>
        <m:r>
          <m:t>cα</m:t>
        </m:r>
        <m:sSubSup>
          <m:sSubSupPr>
            <m:ctrlPr/>
          </m:sSubSupPr>
          <m:e>
            <m:r>
              <m:t>g</m:t>
            </m:r>
          </m:e>
          <m:sub>
            <m:r>
              <m:t>k</m:t>
            </m:r>
          </m:sub>
          <m:sup>
            <m:r>
              <m:t>T</m:t>
            </m:r>
          </m:sup>
        </m:sSubSup>
        <m:sSub>
          <m:sSubPr>
            <m:ctrlPr/>
          </m:sSubPr>
          <m:e>
            <m:r>
              <m:t>p</m:t>
            </m:r>
          </m:e>
          <m:sub>
            <m:r>
              <m:t>k</m:t>
            </m:r>
          </m:sub>
        </m:sSub>
      </m:oMath>
      <w:r>
        <w:rPr>
          <w:rFonts w:ascii="Times New Roman" w:hAnsi="Times New Roman" w:cs="Times New Roman"/>
          <w:sz w:val="21"/>
        </w:rPr>
        <w:tab/>
      </w:r>
      <w:r>
        <w:rPr>
          <w:rFonts w:ascii="Times New Roman" w:hAnsi="Times New Roman" w:cs="Times New Roman"/>
          <w:sz w:val="21"/>
        </w:rPr>
        <w:t>（</w:t>
      </w:r>
      <w:r>
        <w:rPr>
          <w:rFonts w:ascii="Times New Roman" w:hAnsi="Times New Roman" w:cs="Times New Roman"/>
          <w:sz w:val="21"/>
        </w:rPr>
        <w:t>12</w:t>
      </w:r>
      <w:r>
        <w:rPr>
          <w:rFonts w:ascii="Times New Roman" w:hAnsi="Times New Roman" w:cs="Times New Roman"/>
          <w:sz w:val="21"/>
        </w:rPr>
        <w:t>）</w:t>
      </w:r>
    </w:p>
    <w:p w14:paraId="61F2A9DA" w14:textId="77777777">
      <w:pPr>
        <w:pStyle w:val="21"/>
        <w:rPr>
          <w:rFonts w:ascii="Times New Roman" w:eastAsia="宋体" w:hAnsi="Times New Roman" w:cs="Times New Roman"/>
        </w:rPr>
      </w:pPr>
      <w:r>
        <w:rPr>
          <w:rFonts w:ascii="Times New Roman" w:eastAsia="宋体" w:hAnsi="Times New Roman" w:cs="Times New Roman"/>
        </w:rPr>
        <w:t>（三）算法流程与复杂度</w:t>
      </w:r>
    </w:p>
    <w:p w14:paraId="356AF2CD" w14:textId="77777777">
      <w:pPr>
        <w:pStyle w:val="a"/>
        <w:spacing w:after="60" w:line="300" w:lineRule="auto"/>
        <w:jc w:val="both"/>
      </w:pPr>
      <w:r>
        <w:t>输入正定风险矩阵</w:t>
      </w:r>
      <w:r>
        <w:t>Σ</w:t>
      </w:r>
      <w:r>
        <w:t>、正风险预算</w:t>
      </w:r>
      <w:r>
        <w:t>b</w:t>
      </w:r>
      <w:r>
        <w:t>、容差和最大迭代次数，并以严格正向量初始化。</w:t>
      </w:r>
    </w:p>
    <w:p w14:paraId="62F17DCF" w14:textId="77777777">
      <w:pPr>
        <w:pStyle w:val="a"/>
        <w:spacing w:after="60" w:line="300" w:lineRule="auto"/>
        <w:jc w:val="both"/>
      </w:pPr>
      <w:r>
        <w:t>计算目标函数、解析梯度和</w:t>
      </w:r>
      <w:r>
        <w:t>Hessian</w:t>
      </w:r>
      <w:r>
        <w:t>；梯度达到容差时进入解后检查。</w:t>
      </w:r>
    </w:p>
    <w:p w14:paraId="65745825" w14:textId="77777777">
      <w:pPr>
        <w:pStyle w:val="a"/>
        <w:spacing w:after="60" w:line="300" w:lineRule="auto"/>
        <w:jc w:val="both"/>
      </w:pPr>
      <w:r>
        <w:t>解线性方程得到</w:t>
      </w:r>
      <w:r>
        <w:t>Newton</w:t>
      </w:r>
      <w:r>
        <w:t>方向，并计算保持所有分量为正的最大步长。</w:t>
      </w:r>
    </w:p>
    <w:p w14:paraId="3B667D80" w14:textId="77777777">
      <w:pPr>
        <w:pStyle w:val="a"/>
        <w:spacing w:after="60" w:line="300" w:lineRule="auto"/>
        <w:jc w:val="both"/>
      </w:pPr>
      <w:r>
        <w:t>执行</w:t>
      </w:r>
      <w:r>
        <w:t>Armijo</w:t>
      </w:r>
      <w:r>
        <w:t>回溯，接受满足可行性和充分下降的候选点。</w:t>
      </w:r>
    </w:p>
    <w:p w14:paraId="65E96D37" w14:textId="77777777">
      <w:pPr>
        <w:pStyle w:val="a"/>
        <w:spacing w:after="60" w:line="300" w:lineRule="auto"/>
        <w:jc w:val="both"/>
      </w:pPr>
      <w:r>
        <w:t>将</w:t>
      </w:r>
      <w:r>
        <w:t>x</w:t>
      </w:r>
      <w:r>
        <w:t>归一化为资金权重</w:t>
      </w:r>
      <w:r>
        <w:t>w</w:t>
      </w:r>
      <w:r>
        <w:t>，输出权重、风险贡献、迭代诊断和独立</w:t>
      </w:r>
      <w:r>
        <w:t>RC</w:t>
      </w:r>
      <w:r>
        <w:t>验收结果。</w:t>
      </w:r>
    </w:p>
    <w:p w14:paraId="470FCF64" w14:textId="77777777">
      <w:pPr>
        <w:jc w:val="both"/>
      </w:pPr>
      <w:r>
        <w:t>对</w:t>
      </w:r>
      <w:r>
        <w:t>n</w:t>
      </w:r>
      <w:r>
        <w:t>个资产，稠密</w:t>
      </w:r>
      <w:r>
        <w:t>Hessian</w:t>
      </w:r>
      <w:r>
        <w:t>的构造和线性方程求解通常为</w:t>
      </w:r>
      <w:r>
        <w:t>O(n³)</w:t>
      </w:r>
      <w:r>
        <w:t>，内存需求为</w:t>
      </w:r>
      <w:r>
        <w:t>O(n²)</w:t>
      </w:r>
      <w:r>
        <w:t>。本研究只有</w:t>
      </w:r>
      <w:r>
        <w:t>9</w:t>
      </w:r>
      <w:r>
        <w:t>类资产，解析二阶信息的成本较低；在超高维问题中，不显式存储</w:t>
      </w:r>
      <w:r>
        <w:t>Hessian</w:t>
      </w:r>
      <w:r>
        <w:t>的</w:t>
      </w:r>
      <w:r>
        <w:t>L-BFGS</w:t>
      </w:r>
      <w:r>
        <w:t>类方法可能更具扩展性</w:t>
      </w:r>
      <w:r>
        <w:t>[7]</w:t>
      </w:r>
      <w:r>
        <w:t>。</w:t>
      </w:r>
    </w:p>
    <w:p w14:paraId="44940532" w14:textId="77777777">
      <w:pPr>
        <w:pStyle w:val="1"/>
        <w:rPr>
          <w:rFonts w:ascii="Times New Roman" w:eastAsia="宋体" w:hAnsi="Times New Roman" w:cs="Times New Roman"/>
        </w:rPr>
      </w:pPr>
      <w:bookmarkStart w:id="5" w:name="_Toc235027244"/>
      <w:r>
        <w:rPr>
          <w:rFonts w:ascii="Times New Roman" w:eastAsia="宋体" w:hAnsi="Times New Roman" w:cs="Times New Roman"/>
        </w:rPr>
        <w:lastRenderedPageBreak/>
        <w:t>五、数值实验与算法比较</w:t>
      </w:r>
      <w:bookmarkEnd w:id="5"/>
    </w:p>
    <w:p w14:paraId="7D982F25" w14:textId="77777777">
      <w:pPr>
        <w:pStyle w:val="21"/>
        <w:rPr>
          <w:rFonts w:ascii="Times New Roman" w:eastAsia="宋体" w:hAnsi="Times New Roman" w:cs="Times New Roman"/>
        </w:rPr>
      </w:pPr>
      <w:r>
        <w:rPr>
          <w:rFonts w:ascii="Times New Roman" w:eastAsia="宋体" w:hAnsi="Times New Roman" w:cs="Times New Roman"/>
        </w:rPr>
        <w:t>（一）实验口径</w:t>
      </w:r>
    </w:p>
    <w:p w14:paraId="5255926E" w14:textId="77777777">
      <w:pPr>
        <w:jc w:val="both"/>
      </w:pPr>
      <w:r>
        <w:t>数值实验使用</w:t>
      </w:r>
      <w:r>
        <w:t>148</w:t>
      </w:r>
      <w:r>
        <w:t>个滚动月末</w:t>
      </w:r>
      <w:r>
        <w:t>EWMA</w:t>
      </w:r>
      <w:r>
        <w:t>半协方差矩阵，固定风险预算、初始化和</w:t>
      </w:r>
      <w:r>
        <w:t>1000</w:t>
      </w:r>
      <w:r>
        <w:t>次最大迭代上限。阻尼牛顿法与</w:t>
      </w:r>
      <w:r>
        <w:t>L-BFGS-B</w:t>
      </w:r>
      <w:r>
        <w:t>求解同一凸目标，</w:t>
      </w:r>
      <w:r>
        <w:t>SLSQP</w:t>
      </w:r>
      <w:r>
        <w:t>作为直接</w:t>
      </w:r>
      <w:r>
        <w:t>RC</w:t>
      </w:r>
      <w:r>
        <w:t>残差和显式资金约束下的通用算法基准。三者最终都按相同</w:t>
      </w:r>
      <w:r>
        <w:t>RC</w:t>
      </w:r>
      <w:r>
        <w:t>误差和权重约束重新验收；运行时间仅是当前软硬件环境中的辅助信息。</w:t>
      </w:r>
    </w:p>
    <w:p w14:paraId="37DF66B2" w14:textId="5D087B89">
      <w:pPr>
        <w:pStyle w:val="af7"/>
        <w:keepNext/>
        <w:jc w:val="center"/>
      </w:pPr>
      <w:r>
        <w:t>表</w:t>
      </w:r>
      <w:r>
        <w:t xml:space="preserve"> </w:t>
      </w:r>
      <w:bookmarkStart w:id="6" w:name="tbl2"/>
      <w:r>
        <w:fldChar w:fldCharType="begin"/>
      </w:r>
      <w:r>
        <w:instrText xml:space="preserve"> SEQ Table \* ARABIC </w:instrText>
      </w:r>
      <w:r>
        <w:fldChar w:fldCharType="separate"/>
      </w:r>
      <w:r>
        <w:rPr>
          <w:noProof/>
        </w:rPr>
        <w:t>2</w:t>
      </w:r>
      <w:r>
        <w:fldChar w:fldCharType="end"/>
      </w:r>
      <w:bookmarkEnd w:id="6"/>
      <w:r>
        <w:t xml:space="preserve">　求解算法与病态矩阵结果</w:t>
      </w:r>
    </w:p>
    <w:tbl>
      <w:tblPr>
        <w:tblStyle w:val="aff1"/>
        <w:tblW w:w="8898" w:type="dxa"/>
        <w:tblInd w:w="120" w:type="dxa"/>
        <w:tblLayout w:type="fixed"/>
        <w:tblLook w:val="04A0" w:firstRow="1" w:lastRow="0" w:firstColumn="1" w:lastColumn="0" w:noHBand="0" w:noVBand="1"/>
      </w:tblPr>
      <w:tblGrid>
        <w:gridCol w:w="1944"/>
        <w:gridCol w:w="1080"/>
        <w:gridCol w:w="1152"/>
        <w:gridCol w:w="1555"/>
        <w:gridCol w:w="1555"/>
        <w:gridCol w:w="1612"/>
      </w:tblGrid>
      <w:tr w14:paraId="12F57127" w14:textId="77777777">
        <w:trPr>
          <w:tblHeader/>
        </w:trPr>
        <w:tc>
          <w:tcPr>
            <w:tcW w:w="1944" w:type="dxa"/>
            <w:shd w:val="clear" w:color="auto" w:fill="D9EAF7"/>
            <w:tcMar>
              <w:top w:w="80" w:type="dxa"/>
              <w:left w:w="120" w:type="dxa"/>
              <w:bottom w:w="80" w:type="dxa"/>
              <w:right w:w="120" w:type="dxa"/>
            </w:tcMar>
            <w:vAlign w:val="center"/>
          </w:tcPr>
          <w:p w14:paraId="10738140" w14:textId="77777777">
            <w:pPr>
              <w:spacing w:after="0" w:line="264" w:lineRule="auto"/>
              <w:ind w:firstLine="0"/>
              <w:jc w:val="center"/>
            </w:pPr>
            <w:r>
              <w:rPr>
                <w:b/>
                <w:sz w:val="17"/>
              </w:rPr>
              <w:t>方法</w:t>
            </w:r>
            <w:r>
              <w:rPr>
                <w:b/>
                <w:sz w:val="17"/>
              </w:rPr>
              <w:t>/</w:t>
            </w:r>
            <w:r>
              <w:rPr>
                <w:b/>
                <w:sz w:val="17"/>
              </w:rPr>
              <w:t>场景</w:t>
            </w:r>
          </w:p>
        </w:tc>
        <w:tc>
          <w:tcPr>
            <w:tcW w:w="1080" w:type="dxa"/>
            <w:shd w:val="clear" w:color="auto" w:fill="D9EAF7"/>
            <w:tcMar>
              <w:top w:w="80" w:type="dxa"/>
              <w:left w:w="120" w:type="dxa"/>
              <w:bottom w:w="80" w:type="dxa"/>
              <w:right w:w="120" w:type="dxa"/>
            </w:tcMar>
            <w:vAlign w:val="center"/>
          </w:tcPr>
          <w:p w14:paraId="3A322BC6" w14:textId="77777777">
            <w:pPr>
              <w:spacing w:after="0" w:line="264" w:lineRule="auto"/>
              <w:ind w:firstLine="0"/>
              <w:jc w:val="center"/>
            </w:pPr>
            <w:r>
              <w:rPr>
                <w:b/>
                <w:sz w:val="17"/>
              </w:rPr>
              <w:t>成功率</w:t>
            </w:r>
          </w:p>
        </w:tc>
        <w:tc>
          <w:tcPr>
            <w:tcW w:w="1152" w:type="dxa"/>
            <w:shd w:val="clear" w:color="auto" w:fill="D9EAF7"/>
            <w:tcMar>
              <w:top w:w="80" w:type="dxa"/>
              <w:left w:w="120" w:type="dxa"/>
              <w:bottom w:w="80" w:type="dxa"/>
              <w:right w:w="120" w:type="dxa"/>
            </w:tcMar>
            <w:vAlign w:val="center"/>
          </w:tcPr>
          <w:p w14:paraId="31C61542" w14:textId="77777777">
            <w:pPr>
              <w:spacing w:after="0" w:line="264" w:lineRule="auto"/>
              <w:ind w:firstLine="0"/>
              <w:jc w:val="center"/>
            </w:pPr>
            <w:r>
              <w:rPr>
                <w:b/>
                <w:sz w:val="17"/>
              </w:rPr>
              <w:t>中位迭代</w:t>
            </w:r>
          </w:p>
        </w:tc>
        <w:tc>
          <w:tcPr>
            <w:tcW w:w="1555" w:type="dxa"/>
            <w:shd w:val="clear" w:color="auto" w:fill="D9EAF7"/>
            <w:tcMar>
              <w:top w:w="80" w:type="dxa"/>
              <w:left w:w="120" w:type="dxa"/>
              <w:bottom w:w="80" w:type="dxa"/>
              <w:right w:w="120" w:type="dxa"/>
            </w:tcMar>
            <w:vAlign w:val="center"/>
          </w:tcPr>
          <w:p w14:paraId="172A6603" w14:textId="77777777">
            <w:pPr>
              <w:spacing w:after="0" w:line="264" w:lineRule="auto"/>
              <w:ind w:firstLine="0"/>
              <w:jc w:val="center"/>
            </w:pPr>
            <w:r>
              <w:rPr>
                <w:b/>
                <w:sz w:val="17"/>
              </w:rPr>
              <w:t>中位</w:t>
            </w:r>
            <w:r>
              <w:rPr>
                <w:b/>
                <w:sz w:val="17"/>
              </w:rPr>
              <w:t>RC</w:t>
            </w:r>
            <w:r>
              <w:rPr>
                <w:b/>
                <w:sz w:val="17"/>
              </w:rPr>
              <w:t>误差</w:t>
            </w:r>
          </w:p>
        </w:tc>
        <w:tc>
          <w:tcPr>
            <w:tcW w:w="1555" w:type="dxa"/>
            <w:shd w:val="clear" w:color="auto" w:fill="D9EAF7"/>
            <w:tcMar>
              <w:top w:w="80" w:type="dxa"/>
              <w:left w:w="120" w:type="dxa"/>
              <w:bottom w:w="80" w:type="dxa"/>
              <w:right w:w="120" w:type="dxa"/>
            </w:tcMar>
            <w:vAlign w:val="center"/>
          </w:tcPr>
          <w:p w14:paraId="50983D2F" w14:textId="77777777">
            <w:pPr>
              <w:spacing w:after="0" w:line="264" w:lineRule="auto"/>
              <w:ind w:firstLine="0"/>
              <w:jc w:val="center"/>
            </w:pPr>
            <w:r>
              <w:rPr>
                <w:b/>
                <w:sz w:val="17"/>
              </w:rPr>
              <w:t>最大</w:t>
            </w:r>
            <w:r>
              <w:rPr>
                <w:b/>
                <w:sz w:val="17"/>
              </w:rPr>
              <w:t>RC</w:t>
            </w:r>
            <w:r>
              <w:rPr>
                <w:b/>
                <w:sz w:val="17"/>
              </w:rPr>
              <w:t>误差</w:t>
            </w:r>
          </w:p>
        </w:tc>
        <w:tc>
          <w:tcPr>
            <w:tcW w:w="1612" w:type="dxa"/>
            <w:shd w:val="clear" w:color="auto" w:fill="D9EAF7"/>
            <w:tcMar>
              <w:top w:w="80" w:type="dxa"/>
              <w:left w:w="120" w:type="dxa"/>
              <w:bottom w:w="80" w:type="dxa"/>
              <w:right w:w="120" w:type="dxa"/>
            </w:tcMar>
            <w:vAlign w:val="center"/>
          </w:tcPr>
          <w:p w14:paraId="7B700179" w14:textId="77777777">
            <w:pPr>
              <w:spacing w:after="0" w:line="264" w:lineRule="auto"/>
              <w:ind w:firstLine="0"/>
              <w:jc w:val="center"/>
            </w:pPr>
            <w:r>
              <w:rPr>
                <w:b/>
                <w:sz w:val="17"/>
              </w:rPr>
              <w:t>权重和误差</w:t>
            </w:r>
          </w:p>
        </w:tc>
      </w:tr>
      <w:tr w14:paraId="089FA0E4" w14:textId="77777777">
        <w:tc>
          <w:tcPr>
            <w:tcW w:w="1944" w:type="dxa"/>
            <w:tcMar>
              <w:top w:w="80" w:type="dxa"/>
              <w:left w:w="120" w:type="dxa"/>
              <w:bottom w:w="80" w:type="dxa"/>
              <w:right w:w="120" w:type="dxa"/>
            </w:tcMar>
            <w:vAlign w:val="center"/>
          </w:tcPr>
          <w:p w14:paraId="6D0291BF" w14:textId="77777777">
            <w:pPr>
              <w:spacing w:after="0" w:line="264" w:lineRule="auto"/>
              <w:ind w:firstLine="0"/>
              <w:jc w:val="center"/>
            </w:pPr>
            <w:r>
              <w:rPr>
                <w:sz w:val="17"/>
              </w:rPr>
              <w:t>阻尼牛顿法</w:t>
            </w:r>
          </w:p>
        </w:tc>
        <w:tc>
          <w:tcPr>
            <w:tcW w:w="1080" w:type="dxa"/>
            <w:tcMar>
              <w:top w:w="80" w:type="dxa"/>
              <w:left w:w="120" w:type="dxa"/>
              <w:bottom w:w="80" w:type="dxa"/>
              <w:right w:w="120" w:type="dxa"/>
            </w:tcMar>
            <w:vAlign w:val="center"/>
          </w:tcPr>
          <w:p w14:paraId="169E4F84" w14:textId="77777777">
            <w:pPr>
              <w:spacing w:after="0" w:line="264" w:lineRule="auto"/>
              <w:ind w:firstLine="0"/>
              <w:jc w:val="center"/>
            </w:pPr>
            <w:r>
              <w:rPr>
                <w:sz w:val="17"/>
              </w:rPr>
              <w:t>99.3%</w:t>
            </w:r>
          </w:p>
        </w:tc>
        <w:tc>
          <w:tcPr>
            <w:tcW w:w="1152" w:type="dxa"/>
            <w:tcMar>
              <w:top w:w="80" w:type="dxa"/>
              <w:left w:w="120" w:type="dxa"/>
              <w:bottom w:w="80" w:type="dxa"/>
              <w:right w:w="120" w:type="dxa"/>
            </w:tcMar>
            <w:vAlign w:val="center"/>
          </w:tcPr>
          <w:p w14:paraId="525D29A2" w14:textId="77777777">
            <w:pPr>
              <w:spacing w:after="0" w:line="264" w:lineRule="auto"/>
              <w:ind w:firstLine="0"/>
              <w:jc w:val="center"/>
            </w:pPr>
            <w:r>
              <w:rPr>
                <w:sz w:val="17"/>
              </w:rPr>
              <w:t>8.0</w:t>
            </w:r>
          </w:p>
        </w:tc>
        <w:tc>
          <w:tcPr>
            <w:tcW w:w="1555" w:type="dxa"/>
            <w:tcMar>
              <w:top w:w="80" w:type="dxa"/>
              <w:left w:w="120" w:type="dxa"/>
              <w:bottom w:w="80" w:type="dxa"/>
              <w:right w:w="120" w:type="dxa"/>
            </w:tcMar>
            <w:vAlign w:val="center"/>
          </w:tcPr>
          <w:p w14:paraId="5B130BE9" w14:textId="77777777">
            <w:pPr>
              <w:spacing w:after="0" w:line="264" w:lineRule="auto"/>
              <w:ind w:firstLine="0"/>
              <w:jc w:val="center"/>
            </w:pPr>
            <w:r>
              <w:rPr>
                <w:sz w:val="17"/>
              </w:rPr>
              <w:t>6.95e-13</w:t>
            </w:r>
          </w:p>
        </w:tc>
        <w:tc>
          <w:tcPr>
            <w:tcW w:w="1555" w:type="dxa"/>
            <w:tcMar>
              <w:top w:w="80" w:type="dxa"/>
              <w:left w:w="120" w:type="dxa"/>
              <w:bottom w:w="80" w:type="dxa"/>
              <w:right w:w="120" w:type="dxa"/>
            </w:tcMar>
            <w:vAlign w:val="center"/>
          </w:tcPr>
          <w:p w14:paraId="04BCBE3E" w14:textId="77777777">
            <w:pPr>
              <w:spacing w:after="0" w:line="264" w:lineRule="auto"/>
              <w:ind w:firstLine="0"/>
              <w:jc w:val="center"/>
            </w:pPr>
            <w:r>
              <w:rPr>
                <w:sz w:val="17"/>
              </w:rPr>
              <w:t>1.61e-09</w:t>
            </w:r>
          </w:p>
        </w:tc>
        <w:tc>
          <w:tcPr>
            <w:tcW w:w="1612" w:type="dxa"/>
            <w:tcMar>
              <w:top w:w="80" w:type="dxa"/>
              <w:left w:w="120" w:type="dxa"/>
              <w:bottom w:w="80" w:type="dxa"/>
              <w:right w:w="120" w:type="dxa"/>
            </w:tcMar>
            <w:vAlign w:val="center"/>
          </w:tcPr>
          <w:p w14:paraId="57DB06C5" w14:textId="77777777">
            <w:pPr>
              <w:spacing w:after="0" w:line="264" w:lineRule="auto"/>
              <w:ind w:firstLine="0"/>
              <w:jc w:val="center"/>
            </w:pPr>
            <w:r>
              <w:rPr>
                <w:sz w:val="17"/>
              </w:rPr>
              <w:t>3.33e-16</w:t>
            </w:r>
          </w:p>
        </w:tc>
      </w:tr>
      <w:tr w14:paraId="5BC91068" w14:textId="77777777">
        <w:tc>
          <w:tcPr>
            <w:tcW w:w="1944" w:type="dxa"/>
            <w:tcMar>
              <w:top w:w="80" w:type="dxa"/>
              <w:left w:w="120" w:type="dxa"/>
              <w:bottom w:w="80" w:type="dxa"/>
              <w:right w:w="120" w:type="dxa"/>
            </w:tcMar>
            <w:vAlign w:val="center"/>
          </w:tcPr>
          <w:p w14:paraId="6EEBFED3" w14:textId="77777777">
            <w:pPr>
              <w:spacing w:after="0" w:line="264" w:lineRule="auto"/>
              <w:ind w:firstLine="0"/>
              <w:jc w:val="center"/>
            </w:pPr>
            <w:r>
              <w:rPr>
                <w:sz w:val="17"/>
              </w:rPr>
              <w:t>L-BFGS-B</w:t>
            </w:r>
          </w:p>
        </w:tc>
        <w:tc>
          <w:tcPr>
            <w:tcW w:w="1080" w:type="dxa"/>
            <w:tcMar>
              <w:top w:w="80" w:type="dxa"/>
              <w:left w:w="120" w:type="dxa"/>
              <w:bottom w:w="80" w:type="dxa"/>
              <w:right w:w="120" w:type="dxa"/>
            </w:tcMar>
            <w:vAlign w:val="center"/>
          </w:tcPr>
          <w:p w14:paraId="6E9BE71A" w14:textId="77777777">
            <w:pPr>
              <w:spacing w:after="0" w:line="264" w:lineRule="auto"/>
              <w:ind w:firstLine="0"/>
              <w:jc w:val="center"/>
            </w:pPr>
            <w:r>
              <w:rPr>
                <w:sz w:val="17"/>
              </w:rPr>
              <w:t>100.0%</w:t>
            </w:r>
          </w:p>
        </w:tc>
        <w:tc>
          <w:tcPr>
            <w:tcW w:w="1152" w:type="dxa"/>
            <w:tcMar>
              <w:top w:w="80" w:type="dxa"/>
              <w:left w:w="120" w:type="dxa"/>
              <w:bottom w:w="80" w:type="dxa"/>
              <w:right w:w="120" w:type="dxa"/>
            </w:tcMar>
            <w:vAlign w:val="center"/>
          </w:tcPr>
          <w:p w14:paraId="6DFDB36C" w14:textId="77777777">
            <w:pPr>
              <w:spacing w:after="0" w:line="264" w:lineRule="auto"/>
              <w:ind w:firstLine="0"/>
              <w:jc w:val="center"/>
            </w:pPr>
            <w:r>
              <w:rPr>
                <w:sz w:val="17"/>
              </w:rPr>
              <w:t>29.0</w:t>
            </w:r>
          </w:p>
        </w:tc>
        <w:tc>
          <w:tcPr>
            <w:tcW w:w="1555" w:type="dxa"/>
            <w:tcMar>
              <w:top w:w="80" w:type="dxa"/>
              <w:left w:w="120" w:type="dxa"/>
              <w:bottom w:w="80" w:type="dxa"/>
              <w:right w:w="120" w:type="dxa"/>
            </w:tcMar>
            <w:vAlign w:val="center"/>
          </w:tcPr>
          <w:p w14:paraId="38D9347D" w14:textId="77777777">
            <w:pPr>
              <w:spacing w:after="0" w:line="264" w:lineRule="auto"/>
              <w:ind w:firstLine="0"/>
              <w:jc w:val="center"/>
            </w:pPr>
            <w:r>
              <w:rPr>
                <w:sz w:val="17"/>
              </w:rPr>
              <w:t>1.51e-09</w:t>
            </w:r>
          </w:p>
        </w:tc>
        <w:tc>
          <w:tcPr>
            <w:tcW w:w="1555" w:type="dxa"/>
            <w:tcMar>
              <w:top w:w="80" w:type="dxa"/>
              <w:left w:w="120" w:type="dxa"/>
              <w:bottom w:w="80" w:type="dxa"/>
              <w:right w:w="120" w:type="dxa"/>
            </w:tcMar>
            <w:vAlign w:val="center"/>
          </w:tcPr>
          <w:p w14:paraId="7FBF7BCB" w14:textId="77777777">
            <w:pPr>
              <w:spacing w:after="0" w:line="264" w:lineRule="auto"/>
              <w:ind w:firstLine="0"/>
              <w:jc w:val="center"/>
            </w:pPr>
            <w:r>
              <w:rPr>
                <w:sz w:val="17"/>
              </w:rPr>
              <w:t>6.95e-09</w:t>
            </w:r>
          </w:p>
        </w:tc>
        <w:tc>
          <w:tcPr>
            <w:tcW w:w="1612" w:type="dxa"/>
            <w:tcMar>
              <w:top w:w="80" w:type="dxa"/>
              <w:left w:w="120" w:type="dxa"/>
              <w:bottom w:w="80" w:type="dxa"/>
              <w:right w:w="120" w:type="dxa"/>
            </w:tcMar>
            <w:vAlign w:val="center"/>
          </w:tcPr>
          <w:p w14:paraId="6FFD1986" w14:textId="77777777">
            <w:pPr>
              <w:spacing w:after="0" w:line="264" w:lineRule="auto"/>
              <w:ind w:firstLine="0"/>
              <w:jc w:val="center"/>
            </w:pPr>
            <w:r>
              <w:rPr>
                <w:sz w:val="17"/>
              </w:rPr>
              <w:t>2.22e-16</w:t>
            </w:r>
          </w:p>
        </w:tc>
      </w:tr>
      <w:tr w14:paraId="62A0713E" w14:textId="77777777">
        <w:tc>
          <w:tcPr>
            <w:tcW w:w="1944" w:type="dxa"/>
            <w:tcMar>
              <w:top w:w="80" w:type="dxa"/>
              <w:left w:w="120" w:type="dxa"/>
              <w:bottom w:w="80" w:type="dxa"/>
              <w:right w:w="120" w:type="dxa"/>
            </w:tcMar>
            <w:vAlign w:val="center"/>
          </w:tcPr>
          <w:p w14:paraId="4B8740D2" w14:textId="77777777">
            <w:pPr>
              <w:spacing w:after="0" w:line="264" w:lineRule="auto"/>
              <w:ind w:firstLine="0"/>
              <w:jc w:val="center"/>
            </w:pPr>
            <w:r>
              <w:rPr>
                <w:sz w:val="17"/>
              </w:rPr>
              <w:t>SLSQP</w:t>
            </w:r>
          </w:p>
        </w:tc>
        <w:tc>
          <w:tcPr>
            <w:tcW w:w="1080" w:type="dxa"/>
            <w:tcMar>
              <w:top w:w="80" w:type="dxa"/>
              <w:left w:w="120" w:type="dxa"/>
              <w:bottom w:w="80" w:type="dxa"/>
              <w:right w:w="120" w:type="dxa"/>
            </w:tcMar>
            <w:vAlign w:val="center"/>
          </w:tcPr>
          <w:p w14:paraId="1ECE865E" w14:textId="77777777">
            <w:pPr>
              <w:spacing w:after="0" w:line="264" w:lineRule="auto"/>
              <w:ind w:firstLine="0"/>
              <w:jc w:val="center"/>
            </w:pPr>
            <w:r>
              <w:rPr>
                <w:sz w:val="17"/>
              </w:rPr>
              <w:t>95.3%</w:t>
            </w:r>
          </w:p>
        </w:tc>
        <w:tc>
          <w:tcPr>
            <w:tcW w:w="1152" w:type="dxa"/>
            <w:tcMar>
              <w:top w:w="80" w:type="dxa"/>
              <w:left w:w="120" w:type="dxa"/>
              <w:bottom w:w="80" w:type="dxa"/>
              <w:right w:w="120" w:type="dxa"/>
            </w:tcMar>
            <w:vAlign w:val="center"/>
          </w:tcPr>
          <w:p w14:paraId="740581F6" w14:textId="77777777">
            <w:pPr>
              <w:spacing w:after="0" w:line="264" w:lineRule="auto"/>
              <w:ind w:firstLine="0"/>
              <w:jc w:val="center"/>
            </w:pPr>
            <w:r>
              <w:rPr>
                <w:sz w:val="17"/>
              </w:rPr>
              <w:t>42.5</w:t>
            </w:r>
          </w:p>
        </w:tc>
        <w:tc>
          <w:tcPr>
            <w:tcW w:w="1555" w:type="dxa"/>
            <w:tcMar>
              <w:top w:w="80" w:type="dxa"/>
              <w:left w:w="120" w:type="dxa"/>
              <w:bottom w:w="80" w:type="dxa"/>
              <w:right w:w="120" w:type="dxa"/>
            </w:tcMar>
            <w:vAlign w:val="center"/>
          </w:tcPr>
          <w:p w14:paraId="1257B4F4" w14:textId="77777777">
            <w:pPr>
              <w:spacing w:after="0" w:line="264" w:lineRule="auto"/>
              <w:ind w:firstLine="0"/>
              <w:jc w:val="center"/>
            </w:pPr>
            <w:r>
              <w:rPr>
                <w:sz w:val="17"/>
              </w:rPr>
              <w:t>2.99e-07</w:t>
            </w:r>
          </w:p>
        </w:tc>
        <w:tc>
          <w:tcPr>
            <w:tcW w:w="1555" w:type="dxa"/>
            <w:tcMar>
              <w:top w:w="80" w:type="dxa"/>
              <w:left w:w="120" w:type="dxa"/>
              <w:bottom w:w="80" w:type="dxa"/>
              <w:right w:w="120" w:type="dxa"/>
            </w:tcMar>
            <w:vAlign w:val="center"/>
          </w:tcPr>
          <w:p w14:paraId="49C5AE69" w14:textId="77777777">
            <w:pPr>
              <w:spacing w:after="0" w:line="264" w:lineRule="auto"/>
              <w:ind w:firstLine="0"/>
              <w:jc w:val="center"/>
            </w:pPr>
            <w:r>
              <w:rPr>
                <w:sz w:val="17"/>
              </w:rPr>
              <w:t>2.47e-06</w:t>
            </w:r>
          </w:p>
        </w:tc>
        <w:tc>
          <w:tcPr>
            <w:tcW w:w="1612" w:type="dxa"/>
            <w:tcMar>
              <w:top w:w="80" w:type="dxa"/>
              <w:left w:w="120" w:type="dxa"/>
              <w:bottom w:w="80" w:type="dxa"/>
              <w:right w:w="120" w:type="dxa"/>
            </w:tcMar>
            <w:vAlign w:val="center"/>
          </w:tcPr>
          <w:p w14:paraId="3FC0CDB5" w14:textId="77777777">
            <w:pPr>
              <w:spacing w:after="0" w:line="264" w:lineRule="auto"/>
              <w:ind w:firstLine="0"/>
              <w:jc w:val="center"/>
            </w:pPr>
            <w:r>
              <w:rPr>
                <w:sz w:val="17"/>
              </w:rPr>
              <w:t>2.22e-16</w:t>
            </w:r>
          </w:p>
        </w:tc>
      </w:tr>
      <w:tr w14:paraId="463B5D8E" w14:textId="77777777">
        <w:tc>
          <w:tcPr>
            <w:tcW w:w="1944" w:type="dxa"/>
            <w:tcMar>
              <w:top w:w="80" w:type="dxa"/>
              <w:left w:w="120" w:type="dxa"/>
              <w:bottom w:w="80" w:type="dxa"/>
              <w:right w:w="120" w:type="dxa"/>
            </w:tcMar>
            <w:vAlign w:val="center"/>
          </w:tcPr>
          <w:p w14:paraId="40254538" w14:textId="77777777">
            <w:pPr>
              <w:spacing w:after="0" w:line="264" w:lineRule="auto"/>
              <w:ind w:firstLine="0"/>
              <w:jc w:val="center"/>
            </w:pPr>
            <w:r>
              <w:rPr>
                <w:sz w:val="17"/>
              </w:rPr>
              <w:t>Newton</w:t>
            </w:r>
            <w:r>
              <w:rPr>
                <w:sz w:val="17"/>
              </w:rPr>
              <w:t>：条件数</w:t>
            </w:r>
            <w:r>
              <w:rPr>
                <w:sz w:val="17"/>
              </w:rPr>
              <w:t>10⁸</w:t>
            </w:r>
          </w:p>
        </w:tc>
        <w:tc>
          <w:tcPr>
            <w:tcW w:w="1080" w:type="dxa"/>
            <w:tcMar>
              <w:top w:w="80" w:type="dxa"/>
              <w:left w:w="120" w:type="dxa"/>
              <w:bottom w:w="80" w:type="dxa"/>
              <w:right w:w="120" w:type="dxa"/>
            </w:tcMar>
            <w:vAlign w:val="center"/>
          </w:tcPr>
          <w:p w14:paraId="70DD4C2F" w14:textId="77777777">
            <w:pPr>
              <w:spacing w:after="0" w:line="264" w:lineRule="auto"/>
              <w:ind w:firstLine="0"/>
              <w:jc w:val="center"/>
            </w:pPr>
            <w:r>
              <w:rPr>
                <w:sz w:val="17"/>
              </w:rPr>
              <w:t>95.0%</w:t>
            </w:r>
          </w:p>
        </w:tc>
        <w:tc>
          <w:tcPr>
            <w:tcW w:w="1152" w:type="dxa"/>
            <w:tcMar>
              <w:top w:w="80" w:type="dxa"/>
              <w:left w:w="120" w:type="dxa"/>
              <w:bottom w:w="80" w:type="dxa"/>
              <w:right w:w="120" w:type="dxa"/>
            </w:tcMar>
            <w:vAlign w:val="center"/>
          </w:tcPr>
          <w:p w14:paraId="74C094EB" w14:textId="77777777">
            <w:pPr>
              <w:spacing w:after="0" w:line="264" w:lineRule="auto"/>
              <w:ind w:firstLine="0"/>
              <w:jc w:val="center"/>
            </w:pPr>
            <w:r>
              <w:rPr>
                <w:sz w:val="17"/>
              </w:rPr>
              <w:t>13.5</w:t>
            </w:r>
          </w:p>
        </w:tc>
        <w:tc>
          <w:tcPr>
            <w:tcW w:w="1555" w:type="dxa"/>
            <w:tcMar>
              <w:top w:w="80" w:type="dxa"/>
              <w:left w:w="120" w:type="dxa"/>
              <w:bottom w:w="80" w:type="dxa"/>
              <w:right w:w="120" w:type="dxa"/>
            </w:tcMar>
            <w:vAlign w:val="center"/>
          </w:tcPr>
          <w:p w14:paraId="1B1DE04D" w14:textId="77777777">
            <w:pPr>
              <w:spacing w:after="0" w:line="264" w:lineRule="auto"/>
              <w:ind w:firstLine="0"/>
              <w:jc w:val="center"/>
            </w:pPr>
            <w:r>
              <w:rPr>
                <w:sz w:val="17"/>
              </w:rPr>
              <w:t>2.76e-11</w:t>
            </w:r>
          </w:p>
        </w:tc>
        <w:tc>
          <w:tcPr>
            <w:tcW w:w="1555" w:type="dxa"/>
            <w:tcMar>
              <w:top w:w="80" w:type="dxa"/>
              <w:left w:w="120" w:type="dxa"/>
              <w:bottom w:w="80" w:type="dxa"/>
              <w:right w:w="120" w:type="dxa"/>
            </w:tcMar>
            <w:vAlign w:val="center"/>
          </w:tcPr>
          <w:p w14:paraId="6432B739" w14:textId="77777777">
            <w:pPr>
              <w:spacing w:after="0" w:line="264" w:lineRule="auto"/>
              <w:ind w:firstLine="0"/>
              <w:jc w:val="center"/>
            </w:pPr>
            <w:r>
              <w:rPr>
                <w:sz w:val="17"/>
              </w:rPr>
              <w:t>4.53e-08</w:t>
            </w:r>
          </w:p>
        </w:tc>
        <w:tc>
          <w:tcPr>
            <w:tcW w:w="1612" w:type="dxa"/>
            <w:tcMar>
              <w:top w:w="80" w:type="dxa"/>
              <w:left w:w="120" w:type="dxa"/>
              <w:bottom w:w="80" w:type="dxa"/>
              <w:right w:w="120" w:type="dxa"/>
            </w:tcMar>
            <w:vAlign w:val="center"/>
          </w:tcPr>
          <w:p w14:paraId="08ABE9F7" w14:textId="77777777">
            <w:pPr>
              <w:spacing w:after="0" w:line="264" w:lineRule="auto"/>
              <w:ind w:firstLine="0"/>
              <w:jc w:val="center"/>
            </w:pPr>
            <w:r>
              <w:rPr>
                <w:sz w:val="17"/>
              </w:rPr>
              <w:t>—</w:t>
            </w:r>
          </w:p>
        </w:tc>
      </w:tr>
    </w:tbl>
    <w:p w14:paraId="6E80EC98" w14:textId="77777777">
      <w:pPr>
        <w:spacing w:after="40"/>
        <w:ind w:firstLine="0"/>
      </w:pPr>
    </w:p>
    <w:p w14:paraId="63018584" w14:textId="77777777">
      <w:pPr>
        <w:keepNext/>
        <w:spacing w:before="80" w:after="0"/>
        <w:ind w:firstLine="0"/>
        <w:jc w:val="center"/>
      </w:pPr>
      <w:r>
        <w:rPr>
          <w:noProof/>
        </w:rPr>
        <w:drawing>
          <wp:inline distT="0" distB="0" distL="0" distR="0" wp14:anchorId="3CB2BA17" wp14:editId="2F99C7F1">
            <wp:extent cx="5394960" cy="2529460"/>
            <wp:effectExtent l="0" t="0" r="0" b="0"/>
            <wp:docPr id="1" name="Picture 1" descr="三类求解算法的迭代效率与RC精度" title="三类求解算法的迭代效率与RC精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lver_summary.png"/>
                    <pic:cNvPicPr/>
                  </pic:nvPicPr>
                  <pic:blipFill>
                    <a:blip r:embed="rId8"/>
                    <a:stretch>
                      <a:fillRect/>
                    </a:stretch>
                  </pic:blipFill>
                  <pic:spPr>
                    <a:xfrm>
                      <a:off x="0" y="0"/>
                      <a:ext cx="5394960" cy="2529460"/>
                    </a:xfrm>
                    <a:prstGeom prst="rect">
                      <a:avLst/>
                    </a:prstGeom>
                  </pic:spPr>
                </pic:pic>
              </a:graphicData>
            </a:graphic>
          </wp:inline>
        </w:drawing>
      </w:r>
    </w:p>
    <w:p w14:paraId="4C6C145C" w14:textId="434CA403">
      <w:pPr>
        <w:pStyle w:val="af7"/>
        <w:keepLines/>
        <w:jc w:val="center"/>
      </w:pPr>
      <w:r>
        <w:t>图</w:t>
      </w:r>
      <w:r>
        <w:t xml:space="preserve"> </w:t>
      </w:r>
      <w:bookmarkStart w:id="7" w:name="fig1"/>
      <w:r>
        <w:fldChar w:fldCharType="begin"/>
      </w:r>
      <w:r>
        <w:instrText xml:space="preserve"> SEQ Figure \* ARABIC </w:instrText>
      </w:r>
      <w:r>
        <w:fldChar w:fldCharType="separate"/>
      </w:r>
      <w:r>
        <w:rPr>
          <w:noProof/>
        </w:rPr>
        <w:t>1</w:t>
      </w:r>
      <w:r>
        <w:fldChar w:fldCharType="end"/>
      </w:r>
      <w:bookmarkEnd w:id="7"/>
      <w:r>
        <w:t xml:space="preserve">　三类求解算法的迭代效率与</w:t>
      </w:r>
      <w:r>
        <w:t>RC</w:t>
      </w:r>
      <w:r>
        <w:t>精度</w:t>
      </w:r>
    </w:p>
    <w:p w14:paraId="6955ED7A" w14:textId="56154482">
      <w:pPr>
        <w:jc w:val="both"/>
      </w:pPr>
      <w:r>
        <w:t>算法汇总见表</w:t>
      </w:r>
      <w:r>
        <w:t xml:space="preserve"> </w:t>
      </w:r>
      <w:r>
        <w:fldChar w:fldCharType="begin"/>
      </w:r>
      <w:r>
        <w:instrText xml:space="preserve"> REF tbl2 \h </w:instrText>
      </w:r>
      <w:r>
        <w:fldChar w:fldCharType="separate"/>
      </w:r>
      <w:r>
        <w:rPr>
          <w:noProof/>
        </w:rPr>
        <w:t>2</w:t>
      </w:r>
      <w:r>
        <w:fldChar w:fldCharType="end"/>
      </w:r>
      <w:r>
        <w:t>。阻尼牛顿法中位迭代</w:t>
      </w:r>
      <w:r>
        <w:t xml:space="preserve"> 8 </w:t>
      </w:r>
      <w:r>
        <w:t>次，中位</w:t>
      </w:r>
      <w:r>
        <w:t>RC</w:t>
      </w:r>
      <w:r>
        <w:t>误差为</w:t>
      </w:r>
      <w:r>
        <w:t xml:space="preserve"> 6.95e-13</w:t>
      </w:r>
      <w:r>
        <w:t>，全部滚动窗口的最大</w:t>
      </w:r>
      <w:r>
        <w:t>RC</w:t>
      </w:r>
      <w:r>
        <w:t>误差低于</w:t>
      </w:r>
      <w:r>
        <w:t>10⁻⁶</w:t>
      </w:r>
      <w:r>
        <w:t>。</w:t>
      </w:r>
      <w:r>
        <w:t>L-BFGS-B</w:t>
      </w:r>
      <w:r>
        <w:t>无需完整</w:t>
      </w:r>
      <w:r>
        <w:t>Hessian</w:t>
      </w:r>
      <w:r>
        <w:t>但迭代次数较多；</w:t>
      </w:r>
      <w:r>
        <w:t>SLSQP</w:t>
      </w:r>
      <w:r>
        <w:t>的直接残差形式对停止设置更敏感。</w:t>
      </w:r>
    </w:p>
    <w:p w14:paraId="20845C48" w14:textId="4FC4355D">
      <w:pPr>
        <w:jc w:val="both"/>
      </w:pPr>
      <w:r>
        <w:t>图形比较见图</w:t>
      </w:r>
      <w:r>
        <w:t xml:space="preserve"> </w:t>
      </w:r>
      <w:r>
        <w:fldChar w:fldCharType="begin"/>
      </w:r>
      <w:r>
        <w:instrText xml:space="preserve"> REF fig1 \h </w:instrText>
      </w:r>
      <w:r>
        <w:fldChar w:fldCharType="separate"/>
      </w:r>
      <w:r>
        <w:rPr>
          <w:noProof/>
        </w:rPr>
        <w:t>1</w:t>
      </w:r>
      <w:r>
        <w:fldChar w:fldCharType="end"/>
      </w:r>
      <w:r>
        <w:t>。在条件数</w:t>
      </w:r>
      <w:r>
        <w:t>10⁸</w:t>
      </w:r>
      <w:r>
        <w:t>的构造矩阵上，阻尼牛顿法的最大</w:t>
      </w:r>
      <w:r>
        <w:t>RC</w:t>
      </w:r>
      <w:r>
        <w:t>误差仍低于验收线，但成功率和迭代次数有所恶化，说明正则化、线搜索和解后诊断对病态输入具有实际必要性。</w:t>
      </w:r>
    </w:p>
    <w:p w14:paraId="10D4EC68" w14:textId="77777777">
      <w:pPr>
        <w:pStyle w:val="1"/>
        <w:rPr>
          <w:rFonts w:ascii="Times New Roman" w:eastAsia="宋体" w:hAnsi="Times New Roman" w:cs="Times New Roman"/>
        </w:rPr>
      </w:pPr>
      <w:bookmarkStart w:id="8" w:name="_Toc235027245"/>
      <w:r>
        <w:rPr>
          <w:rFonts w:ascii="Times New Roman" w:eastAsia="宋体" w:hAnsi="Times New Roman" w:cs="Times New Roman"/>
        </w:rPr>
        <w:lastRenderedPageBreak/>
        <w:t>六、样本外实证结果</w:t>
      </w:r>
      <w:bookmarkEnd w:id="8"/>
    </w:p>
    <w:p w14:paraId="537E18BD" w14:textId="77777777">
      <w:pPr>
        <w:pStyle w:val="21"/>
        <w:rPr>
          <w:rFonts w:ascii="Times New Roman" w:eastAsia="宋体" w:hAnsi="Times New Roman" w:cs="Times New Roman"/>
        </w:rPr>
      </w:pPr>
      <w:r>
        <w:rPr>
          <w:rFonts w:ascii="Times New Roman" w:eastAsia="宋体" w:hAnsi="Times New Roman" w:cs="Times New Roman"/>
        </w:rPr>
        <w:t>（一）累计净值与核心绩效</w:t>
      </w:r>
    </w:p>
    <w:p w14:paraId="2787E507" w14:textId="77777777">
      <w:pPr>
        <w:jc w:val="both"/>
      </w:pPr>
      <w:r>
        <w:t>实证比较资金等权、逆下行波动率和</w:t>
      </w:r>
      <w:r>
        <w:t>ERC</w:t>
      </w:r>
      <w:r>
        <w:t>三类策略。三者采用相同调仓日、成本和可用数据，差异集中在权重生成规则。等权不使用风险估计，逆下行波动率忽略资产间相关性，</w:t>
      </w:r>
      <w:r>
        <w:t>ERC</w:t>
      </w:r>
      <w:r>
        <w:t>同时使用风险矩阵和目标风险预算。</w:t>
      </w:r>
    </w:p>
    <w:p w14:paraId="2369F345" w14:textId="77777777">
      <w:pPr>
        <w:keepNext/>
        <w:spacing w:before="80" w:after="0"/>
        <w:ind w:firstLine="0"/>
        <w:jc w:val="center"/>
      </w:pPr>
      <w:r>
        <w:rPr>
          <w:noProof/>
        </w:rPr>
        <w:drawing>
          <wp:inline distT="0" distB="0" distL="0" distR="0" wp14:anchorId="39983C3F" wp14:editId="204C129B">
            <wp:extent cx="5440680" cy="2868218"/>
            <wp:effectExtent l="0" t="0" r="0" b="0"/>
            <wp:docPr id="2" name="Picture 2" descr="三类策略的累计净值" title="三类策略的累计净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rategy_nav.png"/>
                    <pic:cNvPicPr/>
                  </pic:nvPicPr>
                  <pic:blipFill>
                    <a:blip r:embed="rId9"/>
                    <a:stretch>
                      <a:fillRect/>
                    </a:stretch>
                  </pic:blipFill>
                  <pic:spPr>
                    <a:xfrm>
                      <a:off x="0" y="0"/>
                      <a:ext cx="5440680" cy="2868218"/>
                    </a:xfrm>
                    <a:prstGeom prst="rect">
                      <a:avLst/>
                    </a:prstGeom>
                  </pic:spPr>
                </pic:pic>
              </a:graphicData>
            </a:graphic>
          </wp:inline>
        </w:drawing>
      </w:r>
    </w:p>
    <w:p w14:paraId="32A65A9C" w14:textId="42F1121C">
      <w:pPr>
        <w:pStyle w:val="af7"/>
        <w:keepLines/>
        <w:jc w:val="center"/>
      </w:pPr>
      <w:r>
        <w:t>图</w:t>
      </w:r>
      <w:r>
        <w:t xml:space="preserve"> </w:t>
      </w:r>
      <w:bookmarkStart w:id="9" w:name="fig2"/>
      <w:r>
        <w:fldChar w:fldCharType="begin"/>
      </w:r>
      <w:r>
        <w:instrText xml:space="preserve"> SEQ Figure \* ARABIC </w:instrText>
      </w:r>
      <w:r>
        <w:fldChar w:fldCharType="separate"/>
      </w:r>
      <w:r>
        <w:rPr>
          <w:noProof/>
        </w:rPr>
        <w:t>2</w:t>
      </w:r>
      <w:r>
        <w:fldChar w:fldCharType="end"/>
      </w:r>
      <w:bookmarkEnd w:id="9"/>
      <w:r>
        <w:t xml:space="preserve">　三类策略的累计净值</w:t>
      </w:r>
    </w:p>
    <w:p w14:paraId="32EEE385" w14:textId="3111F28B">
      <w:pPr>
        <w:pStyle w:val="af7"/>
        <w:keepNext/>
        <w:jc w:val="center"/>
      </w:pPr>
      <w:r>
        <w:t>表</w:t>
      </w:r>
      <w:r>
        <w:t xml:space="preserve"> </w:t>
      </w:r>
      <w:bookmarkStart w:id="10" w:name="tbl3"/>
      <w:r>
        <w:fldChar w:fldCharType="begin"/>
      </w:r>
      <w:r>
        <w:instrText xml:space="preserve"> SEQ Table \* ARABIC </w:instrText>
      </w:r>
      <w:r>
        <w:fldChar w:fldCharType="separate"/>
      </w:r>
      <w:r>
        <w:rPr>
          <w:noProof/>
        </w:rPr>
        <w:t>3</w:t>
      </w:r>
      <w:r>
        <w:fldChar w:fldCharType="end"/>
      </w:r>
      <w:bookmarkEnd w:id="10"/>
      <w:r>
        <w:t xml:space="preserve">　验证期策略绩效</w:t>
      </w:r>
    </w:p>
    <w:tbl>
      <w:tblPr>
        <w:tblStyle w:val="aff1"/>
        <w:tblW w:w="8898" w:type="dxa"/>
        <w:tblInd w:w="120" w:type="dxa"/>
        <w:tblLayout w:type="fixed"/>
        <w:tblLook w:val="04A0" w:firstRow="1" w:lastRow="0" w:firstColumn="1" w:lastColumn="0" w:noHBand="0" w:noVBand="1"/>
      </w:tblPr>
      <w:tblGrid>
        <w:gridCol w:w="1843"/>
        <w:gridCol w:w="1296"/>
        <w:gridCol w:w="1296"/>
        <w:gridCol w:w="1152"/>
        <w:gridCol w:w="1296"/>
        <w:gridCol w:w="2015"/>
      </w:tblGrid>
      <w:tr w14:paraId="4FACF261" w14:textId="77777777">
        <w:trPr>
          <w:tblHeader/>
        </w:trPr>
        <w:tc>
          <w:tcPr>
            <w:tcW w:w="1843" w:type="dxa"/>
            <w:shd w:val="clear" w:color="auto" w:fill="D9EAF7"/>
            <w:tcMar>
              <w:top w:w="80" w:type="dxa"/>
              <w:left w:w="120" w:type="dxa"/>
              <w:bottom w:w="80" w:type="dxa"/>
              <w:right w:w="120" w:type="dxa"/>
            </w:tcMar>
            <w:vAlign w:val="center"/>
          </w:tcPr>
          <w:p w14:paraId="119B3EC9" w14:textId="77777777">
            <w:pPr>
              <w:spacing w:after="0" w:line="264" w:lineRule="auto"/>
              <w:ind w:firstLine="0"/>
              <w:jc w:val="center"/>
            </w:pPr>
            <w:r>
              <w:rPr>
                <w:b/>
                <w:sz w:val="18"/>
              </w:rPr>
              <w:t>策略</w:t>
            </w:r>
          </w:p>
        </w:tc>
        <w:tc>
          <w:tcPr>
            <w:tcW w:w="1296" w:type="dxa"/>
            <w:shd w:val="clear" w:color="auto" w:fill="D9EAF7"/>
            <w:tcMar>
              <w:top w:w="80" w:type="dxa"/>
              <w:left w:w="120" w:type="dxa"/>
              <w:bottom w:w="80" w:type="dxa"/>
              <w:right w:w="120" w:type="dxa"/>
            </w:tcMar>
            <w:vAlign w:val="center"/>
          </w:tcPr>
          <w:p w14:paraId="0BC453DA" w14:textId="77777777">
            <w:pPr>
              <w:spacing w:after="0" w:line="264" w:lineRule="auto"/>
              <w:ind w:firstLine="0"/>
              <w:jc w:val="center"/>
            </w:pPr>
            <w:r>
              <w:rPr>
                <w:b/>
                <w:sz w:val="18"/>
              </w:rPr>
              <w:t>年化收益</w:t>
            </w:r>
          </w:p>
        </w:tc>
        <w:tc>
          <w:tcPr>
            <w:tcW w:w="1296" w:type="dxa"/>
            <w:shd w:val="clear" w:color="auto" w:fill="D9EAF7"/>
            <w:tcMar>
              <w:top w:w="80" w:type="dxa"/>
              <w:left w:w="120" w:type="dxa"/>
              <w:bottom w:w="80" w:type="dxa"/>
              <w:right w:w="120" w:type="dxa"/>
            </w:tcMar>
            <w:vAlign w:val="center"/>
          </w:tcPr>
          <w:p w14:paraId="05D199D5" w14:textId="77777777">
            <w:pPr>
              <w:spacing w:after="0" w:line="264" w:lineRule="auto"/>
              <w:ind w:firstLine="0"/>
              <w:jc w:val="center"/>
            </w:pPr>
            <w:r>
              <w:rPr>
                <w:b/>
                <w:sz w:val="18"/>
              </w:rPr>
              <w:t>年化波动</w:t>
            </w:r>
          </w:p>
        </w:tc>
        <w:tc>
          <w:tcPr>
            <w:tcW w:w="1152" w:type="dxa"/>
            <w:shd w:val="clear" w:color="auto" w:fill="D9EAF7"/>
            <w:tcMar>
              <w:top w:w="80" w:type="dxa"/>
              <w:left w:w="120" w:type="dxa"/>
              <w:bottom w:w="80" w:type="dxa"/>
              <w:right w:w="120" w:type="dxa"/>
            </w:tcMar>
            <w:vAlign w:val="center"/>
          </w:tcPr>
          <w:p w14:paraId="5507265E" w14:textId="77777777">
            <w:pPr>
              <w:spacing w:after="0" w:line="264" w:lineRule="auto"/>
              <w:ind w:firstLine="0"/>
              <w:jc w:val="center"/>
            </w:pPr>
            <w:r>
              <w:rPr>
                <w:b/>
                <w:sz w:val="18"/>
              </w:rPr>
              <w:t>夏普比率</w:t>
            </w:r>
          </w:p>
        </w:tc>
        <w:tc>
          <w:tcPr>
            <w:tcW w:w="1296" w:type="dxa"/>
            <w:shd w:val="clear" w:color="auto" w:fill="D9EAF7"/>
            <w:tcMar>
              <w:top w:w="80" w:type="dxa"/>
              <w:left w:w="120" w:type="dxa"/>
              <w:bottom w:w="80" w:type="dxa"/>
              <w:right w:w="120" w:type="dxa"/>
            </w:tcMar>
            <w:vAlign w:val="center"/>
          </w:tcPr>
          <w:p w14:paraId="0E57C183" w14:textId="77777777">
            <w:pPr>
              <w:spacing w:after="0" w:line="264" w:lineRule="auto"/>
              <w:ind w:firstLine="0"/>
              <w:jc w:val="center"/>
            </w:pPr>
            <w:r>
              <w:rPr>
                <w:b/>
                <w:sz w:val="18"/>
              </w:rPr>
              <w:t>最大回撤</w:t>
            </w:r>
          </w:p>
        </w:tc>
        <w:tc>
          <w:tcPr>
            <w:tcW w:w="2015" w:type="dxa"/>
            <w:shd w:val="clear" w:color="auto" w:fill="D9EAF7"/>
            <w:tcMar>
              <w:top w:w="80" w:type="dxa"/>
              <w:left w:w="120" w:type="dxa"/>
              <w:bottom w:w="80" w:type="dxa"/>
              <w:right w:w="120" w:type="dxa"/>
            </w:tcMar>
            <w:vAlign w:val="center"/>
          </w:tcPr>
          <w:p w14:paraId="57A77E81" w14:textId="77777777">
            <w:pPr>
              <w:spacing w:after="0" w:line="264" w:lineRule="auto"/>
              <w:ind w:firstLine="0"/>
              <w:jc w:val="center"/>
            </w:pPr>
            <w:r>
              <w:rPr>
                <w:b/>
                <w:sz w:val="18"/>
              </w:rPr>
              <w:t>年换手</w:t>
            </w:r>
          </w:p>
        </w:tc>
      </w:tr>
      <w:tr w14:paraId="59BDDB8E" w14:textId="77777777">
        <w:tc>
          <w:tcPr>
            <w:tcW w:w="1843" w:type="dxa"/>
            <w:tcMar>
              <w:top w:w="80" w:type="dxa"/>
              <w:left w:w="120" w:type="dxa"/>
              <w:bottom w:w="80" w:type="dxa"/>
              <w:right w:w="120" w:type="dxa"/>
            </w:tcMar>
            <w:vAlign w:val="center"/>
          </w:tcPr>
          <w:p w14:paraId="38DB5313" w14:textId="77777777">
            <w:pPr>
              <w:spacing w:after="0" w:line="264" w:lineRule="auto"/>
              <w:ind w:firstLine="0"/>
              <w:jc w:val="center"/>
            </w:pPr>
            <w:r>
              <w:rPr>
                <w:sz w:val="18"/>
              </w:rPr>
              <w:t>等权组合</w:t>
            </w:r>
          </w:p>
        </w:tc>
        <w:tc>
          <w:tcPr>
            <w:tcW w:w="1296" w:type="dxa"/>
            <w:tcMar>
              <w:top w:w="80" w:type="dxa"/>
              <w:left w:w="120" w:type="dxa"/>
              <w:bottom w:w="80" w:type="dxa"/>
              <w:right w:w="120" w:type="dxa"/>
            </w:tcMar>
            <w:vAlign w:val="center"/>
          </w:tcPr>
          <w:p w14:paraId="510EBF97" w14:textId="77777777">
            <w:pPr>
              <w:spacing w:after="0" w:line="264" w:lineRule="auto"/>
              <w:ind w:firstLine="0"/>
              <w:jc w:val="center"/>
            </w:pPr>
            <w:r>
              <w:rPr>
                <w:sz w:val="18"/>
              </w:rPr>
              <w:t>10.17%</w:t>
            </w:r>
          </w:p>
        </w:tc>
        <w:tc>
          <w:tcPr>
            <w:tcW w:w="1296" w:type="dxa"/>
            <w:tcMar>
              <w:top w:w="80" w:type="dxa"/>
              <w:left w:w="120" w:type="dxa"/>
              <w:bottom w:w="80" w:type="dxa"/>
              <w:right w:w="120" w:type="dxa"/>
            </w:tcMar>
            <w:vAlign w:val="center"/>
          </w:tcPr>
          <w:p w14:paraId="3DD8ECD5" w14:textId="77777777">
            <w:pPr>
              <w:spacing w:after="0" w:line="264" w:lineRule="auto"/>
              <w:ind w:firstLine="0"/>
              <w:jc w:val="center"/>
            </w:pPr>
            <w:r>
              <w:rPr>
                <w:sz w:val="18"/>
              </w:rPr>
              <w:t>9.12%</w:t>
            </w:r>
          </w:p>
        </w:tc>
        <w:tc>
          <w:tcPr>
            <w:tcW w:w="1152" w:type="dxa"/>
            <w:tcMar>
              <w:top w:w="80" w:type="dxa"/>
              <w:left w:w="120" w:type="dxa"/>
              <w:bottom w:w="80" w:type="dxa"/>
              <w:right w:w="120" w:type="dxa"/>
            </w:tcMar>
            <w:vAlign w:val="center"/>
          </w:tcPr>
          <w:p w14:paraId="46026D36" w14:textId="77777777">
            <w:pPr>
              <w:spacing w:after="0" w:line="264" w:lineRule="auto"/>
              <w:ind w:firstLine="0"/>
              <w:jc w:val="center"/>
            </w:pPr>
            <w:r>
              <w:rPr>
                <w:sz w:val="18"/>
              </w:rPr>
              <w:t>1.11</w:t>
            </w:r>
          </w:p>
        </w:tc>
        <w:tc>
          <w:tcPr>
            <w:tcW w:w="1296" w:type="dxa"/>
            <w:tcMar>
              <w:top w:w="80" w:type="dxa"/>
              <w:left w:w="120" w:type="dxa"/>
              <w:bottom w:w="80" w:type="dxa"/>
              <w:right w:w="120" w:type="dxa"/>
            </w:tcMar>
            <w:vAlign w:val="center"/>
          </w:tcPr>
          <w:p w14:paraId="6624958B" w14:textId="77777777">
            <w:pPr>
              <w:spacing w:after="0" w:line="264" w:lineRule="auto"/>
              <w:ind w:firstLine="0"/>
              <w:jc w:val="center"/>
            </w:pPr>
            <w:r>
              <w:rPr>
                <w:sz w:val="18"/>
              </w:rPr>
              <w:t>-9.56%</w:t>
            </w:r>
          </w:p>
        </w:tc>
        <w:tc>
          <w:tcPr>
            <w:tcW w:w="2015" w:type="dxa"/>
            <w:tcMar>
              <w:top w:w="80" w:type="dxa"/>
              <w:left w:w="120" w:type="dxa"/>
              <w:bottom w:w="80" w:type="dxa"/>
              <w:right w:w="120" w:type="dxa"/>
            </w:tcMar>
            <w:vAlign w:val="center"/>
          </w:tcPr>
          <w:p w14:paraId="2489E90A" w14:textId="77777777">
            <w:pPr>
              <w:spacing w:after="0" w:line="264" w:lineRule="auto"/>
              <w:ind w:firstLine="0"/>
              <w:jc w:val="center"/>
            </w:pPr>
            <w:r>
              <w:rPr>
                <w:sz w:val="18"/>
              </w:rPr>
              <w:t>0.40</w:t>
            </w:r>
          </w:p>
        </w:tc>
      </w:tr>
      <w:tr w14:paraId="414B080E" w14:textId="77777777">
        <w:tc>
          <w:tcPr>
            <w:tcW w:w="1843" w:type="dxa"/>
            <w:tcMar>
              <w:top w:w="80" w:type="dxa"/>
              <w:left w:w="120" w:type="dxa"/>
              <w:bottom w:w="80" w:type="dxa"/>
              <w:right w:w="120" w:type="dxa"/>
            </w:tcMar>
            <w:vAlign w:val="center"/>
          </w:tcPr>
          <w:p w14:paraId="639CB5E5" w14:textId="77777777">
            <w:pPr>
              <w:spacing w:after="0" w:line="264" w:lineRule="auto"/>
              <w:ind w:firstLine="0"/>
              <w:jc w:val="center"/>
            </w:pPr>
            <w:r>
              <w:rPr>
                <w:sz w:val="18"/>
              </w:rPr>
              <w:t>逆下行波动率</w:t>
            </w:r>
          </w:p>
        </w:tc>
        <w:tc>
          <w:tcPr>
            <w:tcW w:w="1296" w:type="dxa"/>
            <w:tcMar>
              <w:top w:w="80" w:type="dxa"/>
              <w:left w:w="120" w:type="dxa"/>
              <w:bottom w:w="80" w:type="dxa"/>
              <w:right w:w="120" w:type="dxa"/>
            </w:tcMar>
            <w:vAlign w:val="center"/>
          </w:tcPr>
          <w:p w14:paraId="0DFAEDD5" w14:textId="77777777">
            <w:pPr>
              <w:spacing w:after="0" w:line="264" w:lineRule="auto"/>
              <w:ind w:firstLine="0"/>
              <w:jc w:val="center"/>
            </w:pPr>
            <w:r>
              <w:rPr>
                <w:sz w:val="18"/>
              </w:rPr>
              <w:t>8.38%</w:t>
            </w:r>
          </w:p>
        </w:tc>
        <w:tc>
          <w:tcPr>
            <w:tcW w:w="1296" w:type="dxa"/>
            <w:tcMar>
              <w:top w:w="80" w:type="dxa"/>
              <w:left w:w="120" w:type="dxa"/>
              <w:bottom w:w="80" w:type="dxa"/>
              <w:right w:w="120" w:type="dxa"/>
            </w:tcMar>
            <w:vAlign w:val="center"/>
          </w:tcPr>
          <w:p w14:paraId="6E82BD79" w14:textId="77777777">
            <w:pPr>
              <w:spacing w:after="0" w:line="264" w:lineRule="auto"/>
              <w:ind w:firstLine="0"/>
              <w:jc w:val="center"/>
            </w:pPr>
            <w:r>
              <w:rPr>
                <w:sz w:val="18"/>
              </w:rPr>
              <w:t>4.49%</w:t>
            </w:r>
          </w:p>
        </w:tc>
        <w:tc>
          <w:tcPr>
            <w:tcW w:w="1152" w:type="dxa"/>
            <w:tcMar>
              <w:top w:w="80" w:type="dxa"/>
              <w:left w:w="120" w:type="dxa"/>
              <w:bottom w:w="80" w:type="dxa"/>
              <w:right w:w="120" w:type="dxa"/>
            </w:tcMar>
            <w:vAlign w:val="center"/>
          </w:tcPr>
          <w:p w14:paraId="28ABB488" w14:textId="77777777">
            <w:pPr>
              <w:spacing w:after="0" w:line="264" w:lineRule="auto"/>
              <w:ind w:firstLine="0"/>
              <w:jc w:val="center"/>
            </w:pPr>
            <w:r>
              <w:rPr>
                <w:sz w:val="18"/>
              </w:rPr>
              <w:t>1.82</w:t>
            </w:r>
          </w:p>
        </w:tc>
        <w:tc>
          <w:tcPr>
            <w:tcW w:w="1296" w:type="dxa"/>
            <w:tcMar>
              <w:top w:w="80" w:type="dxa"/>
              <w:left w:w="120" w:type="dxa"/>
              <w:bottom w:w="80" w:type="dxa"/>
              <w:right w:w="120" w:type="dxa"/>
            </w:tcMar>
            <w:vAlign w:val="center"/>
          </w:tcPr>
          <w:p w14:paraId="5E399CB2" w14:textId="77777777">
            <w:pPr>
              <w:spacing w:after="0" w:line="264" w:lineRule="auto"/>
              <w:ind w:firstLine="0"/>
              <w:jc w:val="center"/>
            </w:pPr>
            <w:r>
              <w:rPr>
                <w:sz w:val="18"/>
              </w:rPr>
              <w:t>-4.20%</w:t>
            </w:r>
          </w:p>
        </w:tc>
        <w:tc>
          <w:tcPr>
            <w:tcW w:w="2015" w:type="dxa"/>
            <w:tcMar>
              <w:top w:w="80" w:type="dxa"/>
              <w:left w:w="120" w:type="dxa"/>
              <w:bottom w:w="80" w:type="dxa"/>
              <w:right w:w="120" w:type="dxa"/>
            </w:tcMar>
            <w:vAlign w:val="center"/>
          </w:tcPr>
          <w:p w14:paraId="633D49F4" w14:textId="77777777">
            <w:pPr>
              <w:spacing w:after="0" w:line="264" w:lineRule="auto"/>
              <w:ind w:firstLine="0"/>
              <w:jc w:val="center"/>
            </w:pPr>
            <w:r>
              <w:rPr>
                <w:sz w:val="18"/>
              </w:rPr>
              <w:t>1.58</w:t>
            </w:r>
          </w:p>
        </w:tc>
      </w:tr>
      <w:tr w14:paraId="78332DA4" w14:textId="77777777">
        <w:tc>
          <w:tcPr>
            <w:tcW w:w="1843" w:type="dxa"/>
            <w:tcMar>
              <w:top w:w="80" w:type="dxa"/>
              <w:left w:w="120" w:type="dxa"/>
              <w:bottom w:w="80" w:type="dxa"/>
              <w:right w:w="120" w:type="dxa"/>
            </w:tcMar>
            <w:vAlign w:val="center"/>
          </w:tcPr>
          <w:p w14:paraId="7680E8EF" w14:textId="77777777">
            <w:pPr>
              <w:spacing w:after="0" w:line="264" w:lineRule="auto"/>
              <w:ind w:firstLine="0"/>
              <w:jc w:val="center"/>
            </w:pPr>
            <w:r>
              <w:rPr>
                <w:sz w:val="18"/>
              </w:rPr>
              <w:t>风险平价</w:t>
            </w:r>
          </w:p>
        </w:tc>
        <w:tc>
          <w:tcPr>
            <w:tcW w:w="1296" w:type="dxa"/>
            <w:tcMar>
              <w:top w:w="80" w:type="dxa"/>
              <w:left w:w="120" w:type="dxa"/>
              <w:bottom w:w="80" w:type="dxa"/>
              <w:right w:w="120" w:type="dxa"/>
            </w:tcMar>
            <w:vAlign w:val="center"/>
          </w:tcPr>
          <w:p w14:paraId="4A750F96" w14:textId="77777777">
            <w:pPr>
              <w:spacing w:after="0" w:line="264" w:lineRule="auto"/>
              <w:ind w:firstLine="0"/>
              <w:jc w:val="center"/>
            </w:pPr>
            <w:r>
              <w:rPr>
                <w:sz w:val="18"/>
              </w:rPr>
              <w:t>8.20%</w:t>
            </w:r>
          </w:p>
        </w:tc>
        <w:tc>
          <w:tcPr>
            <w:tcW w:w="1296" w:type="dxa"/>
            <w:tcMar>
              <w:top w:w="80" w:type="dxa"/>
              <w:left w:w="120" w:type="dxa"/>
              <w:bottom w:w="80" w:type="dxa"/>
              <w:right w:w="120" w:type="dxa"/>
            </w:tcMar>
            <w:vAlign w:val="center"/>
          </w:tcPr>
          <w:p w14:paraId="07E3C397" w14:textId="77777777">
            <w:pPr>
              <w:spacing w:after="0" w:line="264" w:lineRule="auto"/>
              <w:ind w:firstLine="0"/>
              <w:jc w:val="center"/>
            </w:pPr>
            <w:r>
              <w:rPr>
                <w:sz w:val="18"/>
              </w:rPr>
              <w:t>4.21%</w:t>
            </w:r>
          </w:p>
        </w:tc>
        <w:tc>
          <w:tcPr>
            <w:tcW w:w="1152" w:type="dxa"/>
            <w:tcMar>
              <w:top w:w="80" w:type="dxa"/>
              <w:left w:w="120" w:type="dxa"/>
              <w:bottom w:w="80" w:type="dxa"/>
              <w:right w:w="120" w:type="dxa"/>
            </w:tcMar>
            <w:vAlign w:val="center"/>
          </w:tcPr>
          <w:p w14:paraId="47D32004" w14:textId="77777777">
            <w:pPr>
              <w:spacing w:after="0" w:line="264" w:lineRule="auto"/>
              <w:ind w:firstLine="0"/>
              <w:jc w:val="center"/>
            </w:pPr>
            <w:r>
              <w:rPr>
                <w:sz w:val="18"/>
              </w:rPr>
              <w:t>1.89</w:t>
            </w:r>
          </w:p>
        </w:tc>
        <w:tc>
          <w:tcPr>
            <w:tcW w:w="1296" w:type="dxa"/>
            <w:tcMar>
              <w:top w:w="80" w:type="dxa"/>
              <w:left w:w="120" w:type="dxa"/>
              <w:bottom w:w="80" w:type="dxa"/>
              <w:right w:w="120" w:type="dxa"/>
            </w:tcMar>
            <w:vAlign w:val="center"/>
          </w:tcPr>
          <w:p w14:paraId="09802115" w14:textId="77777777">
            <w:pPr>
              <w:spacing w:after="0" w:line="264" w:lineRule="auto"/>
              <w:ind w:firstLine="0"/>
              <w:jc w:val="center"/>
            </w:pPr>
            <w:r>
              <w:rPr>
                <w:sz w:val="18"/>
              </w:rPr>
              <w:t>-3.41%</w:t>
            </w:r>
          </w:p>
        </w:tc>
        <w:tc>
          <w:tcPr>
            <w:tcW w:w="2015" w:type="dxa"/>
            <w:tcMar>
              <w:top w:w="80" w:type="dxa"/>
              <w:left w:w="120" w:type="dxa"/>
              <w:bottom w:w="80" w:type="dxa"/>
              <w:right w:w="120" w:type="dxa"/>
            </w:tcMar>
            <w:vAlign w:val="center"/>
          </w:tcPr>
          <w:p w14:paraId="1381DE20" w14:textId="77777777">
            <w:pPr>
              <w:spacing w:after="0" w:line="264" w:lineRule="auto"/>
              <w:ind w:firstLine="0"/>
              <w:jc w:val="center"/>
            </w:pPr>
            <w:r>
              <w:rPr>
                <w:sz w:val="18"/>
              </w:rPr>
              <w:t>1.70</w:t>
            </w:r>
          </w:p>
        </w:tc>
      </w:tr>
    </w:tbl>
    <w:p w14:paraId="5E6AD95F" w14:textId="77777777">
      <w:pPr>
        <w:spacing w:after="40"/>
        <w:ind w:firstLine="0"/>
      </w:pPr>
    </w:p>
    <w:p w14:paraId="442207D3" w14:textId="0B2695CC">
      <w:pPr>
        <w:jc w:val="both"/>
      </w:pPr>
      <w:r>
        <w:t>累计净值见图</w:t>
      </w:r>
      <w:r>
        <w:t xml:space="preserve"> </w:t>
      </w:r>
      <w:r>
        <w:fldChar w:fldCharType="begin"/>
      </w:r>
      <w:r>
        <w:instrText xml:space="preserve"> REF fig2 \h </w:instrText>
      </w:r>
      <w:r>
        <w:fldChar w:fldCharType="separate"/>
      </w:r>
      <w:r>
        <w:rPr>
          <w:noProof/>
        </w:rPr>
        <w:t>2</w:t>
      </w:r>
      <w:r>
        <w:fldChar w:fldCharType="end"/>
      </w:r>
      <w:r>
        <w:t>。等权组合在部分权益上涨阶段获得更高绝对收益，但净值波动和回撤也更大。风险平价的净值路径相对平滑，评价时应同时观察收益、波动、回撤和换手，而不能只比较终点净值。</w:t>
      </w:r>
    </w:p>
    <w:p w14:paraId="6892FC39" w14:textId="7E45C441">
      <w:pPr>
        <w:jc w:val="both"/>
      </w:pPr>
      <w:r>
        <w:t>验证期结果见表</w:t>
      </w:r>
      <w:r>
        <w:t xml:space="preserve"> </w:t>
      </w:r>
      <w:r>
        <w:fldChar w:fldCharType="begin"/>
      </w:r>
      <w:r>
        <w:instrText xml:space="preserve"> REF tbl3 \h </w:instrText>
      </w:r>
      <w:r>
        <w:fldChar w:fldCharType="separate"/>
      </w:r>
      <w:r>
        <w:rPr>
          <w:noProof/>
        </w:rPr>
        <w:t>3</w:t>
      </w:r>
      <w:r>
        <w:fldChar w:fldCharType="end"/>
      </w:r>
      <w:r>
        <w:t>。</w:t>
      </w:r>
      <w:r>
        <w:t>ERC</w:t>
      </w:r>
      <w:r>
        <w:t>年化收益为</w:t>
      </w:r>
      <w:r>
        <w:t xml:space="preserve"> 8.20%</w:t>
      </w:r>
      <w:r>
        <w:t>，低于等权的</w:t>
      </w:r>
      <w:r>
        <w:t xml:space="preserve"> 10.17%</w:t>
      </w:r>
      <w:r>
        <w:t>；但年化波动由</w:t>
      </w:r>
      <w:r>
        <w:t xml:space="preserve"> 9.12% </w:t>
      </w:r>
      <w:r>
        <w:t>降至</w:t>
      </w:r>
      <w:r>
        <w:t xml:space="preserve"> 4.21%</w:t>
      </w:r>
      <w:r>
        <w:t>，最大回撤由</w:t>
      </w:r>
      <w:r>
        <w:t xml:space="preserve"> -9.56% </w:t>
      </w:r>
      <w:r>
        <w:t>收窄至</w:t>
      </w:r>
      <w:r>
        <w:t xml:space="preserve"> -3.41%</w:t>
      </w:r>
      <w:r>
        <w:t>，夏普比率提高至</w:t>
      </w:r>
      <w:r>
        <w:t xml:space="preserve"> 1.89</w:t>
      </w:r>
      <w:r>
        <w:t>。核心结论是风险调整后表现改善，而不是绝对收益最高。</w:t>
      </w:r>
    </w:p>
    <w:p w14:paraId="69E2F6FD" w14:textId="77777777">
      <w:pPr>
        <w:jc w:val="both"/>
      </w:pPr>
      <w:r>
        <w:t>上述差异应从风险暴露而非择时能力解释。滚动权重仅使用调仓日前已经观察到的收益，验证期参数亦未根据事后表现调整，因此回测避免了显式前视信息；但风险估计仍可能在市场结构突变时滞后。</w:t>
      </w:r>
      <w:r>
        <w:t>ERC</w:t>
      </w:r>
      <w:r>
        <w:t>降低波动和回撤，主要源于把资金从高边际风险资产转向低边际风</w:t>
      </w:r>
      <w:r>
        <w:lastRenderedPageBreak/>
        <w:t>险资产，并同时考虑相关性。相应代价是强势权益行情中可能落后于等权组合，且较高的低波动资产仓位也不等于不存在利率、流动性或尾部相关性风险。</w:t>
      </w:r>
    </w:p>
    <w:p w14:paraId="432A3169" w14:textId="77777777">
      <w:pPr>
        <w:pStyle w:val="21"/>
        <w:rPr>
          <w:rFonts w:ascii="Times New Roman" w:eastAsia="宋体" w:hAnsi="Times New Roman" w:cs="Times New Roman"/>
        </w:rPr>
      </w:pPr>
      <w:r>
        <w:rPr>
          <w:rFonts w:ascii="Times New Roman" w:eastAsia="宋体" w:hAnsi="Times New Roman" w:cs="Times New Roman"/>
        </w:rPr>
        <w:t>（二）代表窗口的资金权重与风险贡献</w:t>
      </w:r>
    </w:p>
    <w:p w14:paraId="44B65965" w14:textId="77777777">
      <w:pPr>
        <w:keepNext/>
        <w:spacing w:before="80" w:after="0"/>
        <w:ind w:firstLine="0"/>
        <w:jc w:val="center"/>
      </w:pPr>
      <w:r>
        <w:rPr>
          <w:noProof/>
        </w:rPr>
        <w:drawing>
          <wp:inline distT="0" distB="0" distL="0" distR="0" wp14:anchorId="2172965B" wp14:editId="43FEF6ED">
            <wp:extent cx="5440680" cy="2763471"/>
            <wp:effectExtent l="0" t="0" r="0" b="0"/>
            <wp:docPr id="3" name="Picture 3" descr="2025-12-31的资金权重与风险贡献" title="2025-12-31的资金权重与风险贡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ights_risk_contributions.png"/>
                    <pic:cNvPicPr/>
                  </pic:nvPicPr>
                  <pic:blipFill>
                    <a:blip r:embed="rId10"/>
                    <a:stretch>
                      <a:fillRect/>
                    </a:stretch>
                  </pic:blipFill>
                  <pic:spPr>
                    <a:xfrm>
                      <a:off x="0" y="0"/>
                      <a:ext cx="5440680" cy="2763471"/>
                    </a:xfrm>
                    <a:prstGeom prst="rect">
                      <a:avLst/>
                    </a:prstGeom>
                  </pic:spPr>
                </pic:pic>
              </a:graphicData>
            </a:graphic>
          </wp:inline>
        </w:drawing>
      </w:r>
    </w:p>
    <w:p w14:paraId="22903FC6" w14:textId="378ED256">
      <w:pPr>
        <w:pStyle w:val="af7"/>
        <w:keepLines/>
        <w:jc w:val="center"/>
      </w:pPr>
      <w:r>
        <w:t>图</w:t>
      </w:r>
      <w:r>
        <w:t xml:space="preserve"> </w:t>
      </w:r>
      <w:bookmarkStart w:id="11" w:name="fig3"/>
      <w:r>
        <w:fldChar w:fldCharType="begin"/>
      </w:r>
      <w:r>
        <w:instrText xml:space="preserve"> SEQ Figure \* ARABIC </w:instrText>
      </w:r>
      <w:r>
        <w:fldChar w:fldCharType="separate"/>
      </w:r>
      <w:r>
        <w:rPr>
          <w:noProof/>
        </w:rPr>
        <w:t>3</w:t>
      </w:r>
      <w:r>
        <w:fldChar w:fldCharType="end"/>
      </w:r>
      <w:bookmarkEnd w:id="11"/>
      <w:r>
        <w:t xml:space="preserve">　</w:t>
      </w:r>
      <w:r>
        <w:t>2025-12-31</w:t>
      </w:r>
      <w:r>
        <w:t>的资金权重与风险贡献</w:t>
      </w:r>
    </w:p>
    <w:p w14:paraId="12EB5EBB" w14:textId="194D53D1">
      <w:pPr>
        <w:jc w:val="both"/>
      </w:pPr>
      <w:r>
        <w:t>代表窗口结果见图</w:t>
      </w:r>
      <w:r>
        <w:t xml:space="preserve"> </w:t>
      </w:r>
      <w:r>
        <w:fldChar w:fldCharType="begin"/>
      </w:r>
      <w:r>
        <w:instrText xml:space="preserve"> REF fig3 \h </w:instrText>
      </w:r>
      <w:r>
        <w:fldChar w:fldCharType="separate"/>
      </w:r>
      <w:r>
        <w:rPr>
          <w:noProof/>
        </w:rPr>
        <w:t>3</w:t>
      </w:r>
      <w:r>
        <w:fldChar w:fldCharType="end"/>
      </w:r>
      <w:r>
        <w:t>。各资产资金权重差异明显，但实际风险贡献都接近</w:t>
      </w:r>
      <w:r>
        <w:t>11.11%</w:t>
      </w:r>
      <w:r>
        <w:t>。债券和低波动资产需要较高资金权重，高波动权益与商品以较低仓位承担相同风险；相关性通过</w:t>
      </w:r>
      <w:r>
        <w:t>Σw</w:t>
      </w:r>
      <w:r>
        <w:t>进入边际风险贡献，因此</w:t>
      </w:r>
      <w:r>
        <w:t>ERC</w:t>
      </w:r>
      <w:r>
        <w:t>既不是资金等权，也不是简单逆波动率配置。</w:t>
      </w:r>
    </w:p>
    <w:p w14:paraId="6A9DF091" w14:textId="77777777">
      <w:pPr>
        <w:pStyle w:val="21"/>
        <w:rPr>
          <w:rFonts w:ascii="Times New Roman" w:eastAsia="宋体" w:hAnsi="Times New Roman" w:cs="Times New Roman"/>
        </w:rPr>
      </w:pPr>
      <w:r>
        <w:rPr>
          <w:rFonts w:ascii="Times New Roman" w:eastAsia="宋体" w:hAnsi="Times New Roman" w:cs="Times New Roman"/>
        </w:rPr>
        <w:t>（三）参数敏感性</w:t>
      </w:r>
    </w:p>
    <w:p w14:paraId="4822D333" w14:textId="77777777">
      <w:pPr>
        <w:keepNext/>
        <w:spacing w:before="80" w:after="0"/>
        <w:ind w:firstLine="0"/>
        <w:jc w:val="center"/>
      </w:pPr>
      <w:r>
        <w:rPr>
          <w:noProof/>
        </w:rPr>
        <w:drawing>
          <wp:inline distT="0" distB="0" distL="0" distR="0" wp14:anchorId="2753C215" wp14:editId="53496D41">
            <wp:extent cx="5303520" cy="3281862"/>
            <wp:effectExtent l="0" t="0" r="0" b="0"/>
            <wp:docPr id="4" name="Picture 4" descr="窗口长度和EWMA衰减系数的训练期敏感性" title="窗口长度和EWMA衰减系数的训练期敏感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nsitivity_heatmap.png"/>
                    <pic:cNvPicPr/>
                  </pic:nvPicPr>
                  <pic:blipFill>
                    <a:blip r:embed="rId11"/>
                    <a:stretch>
                      <a:fillRect/>
                    </a:stretch>
                  </pic:blipFill>
                  <pic:spPr>
                    <a:xfrm>
                      <a:off x="0" y="0"/>
                      <a:ext cx="5303520" cy="3281862"/>
                    </a:xfrm>
                    <a:prstGeom prst="rect">
                      <a:avLst/>
                    </a:prstGeom>
                  </pic:spPr>
                </pic:pic>
              </a:graphicData>
            </a:graphic>
          </wp:inline>
        </w:drawing>
      </w:r>
    </w:p>
    <w:p w14:paraId="7B0D3446" w14:textId="5CADBBC9">
      <w:pPr>
        <w:pStyle w:val="af7"/>
        <w:keepLines/>
        <w:jc w:val="center"/>
      </w:pPr>
      <w:r>
        <w:t>图</w:t>
      </w:r>
      <w:r>
        <w:t xml:space="preserve"> </w:t>
      </w:r>
      <w:bookmarkStart w:id="12" w:name="fig4"/>
      <w:r>
        <w:fldChar w:fldCharType="begin"/>
      </w:r>
      <w:r>
        <w:instrText xml:space="preserve"> SEQ Figure \* ARABIC </w:instrText>
      </w:r>
      <w:r>
        <w:fldChar w:fldCharType="separate"/>
      </w:r>
      <w:r>
        <w:rPr>
          <w:noProof/>
        </w:rPr>
        <w:t>4</w:t>
      </w:r>
      <w:r>
        <w:fldChar w:fldCharType="end"/>
      </w:r>
      <w:bookmarkEnd w:id="12"/>
      <w:r>
        <w:t xml:space="preserve">　窗口长度和</w:t>
      </w:r>
      <w:r>
        <w:t>EWMA</w:t>
      </w:r>
      <w:r>
        <w:t>衰减系数的训练期敏感性</w:t>
      </w:r>
    </w:p>
    <w:p w14:paraId="449B5F16" w14:textId="05DE5B50">
      <w:pPr>
        <w:jc w:val="both"/>
      </w:pPr>
      <w:r>
        <w:lastRenderedPageBreak/>
        <w:t>参数敏感性见图</w:t>
      </w:r>
      <w:r>
        <w:t xml:space="preserve"> </w:t>
      </w:r>
      <w:r>
        <w:fldChar w:fldCharType="begin"/>
      </w:r>
      <w:r>
        <w:instrText xml:space="preserve"> REF fig4 \h </w:instrText>
      </w:r>
      <w:r>
        <w:fldChar w:fldCharType="separate"/>
      </w:r>
      <w:r>
        <w:rPr>
          <w:noProof/>
        </w:rPr>
        <w:t>4</w:t>
      </w:r>
      <w:r>
        <w:fldChar w:fldCharType="end"/>
      </w:r>
      <w:r>
        <w:t>。按训练期夏普最高、再选择最大回撤较轻的规则，网格选中窗口</w:t>
      </w:r>
      <w:r>
        <w:t xml:space="preserve"> 252</w:t>
      </w:r>
      <w:r>
        <w:t>、衰减系数</w:t>
      </w:r>
      <w:r>
        <w:t xml:space="preserve"> 0.90</w:t>
      </w:r>
      <w:r>
        <w:t>，训练期夏普为</w:t>
      </w:r>
      <w:r>
        <w:t xml:space="preserve"> 1.96</w:t>
      </w:r>
      <w:r>
        <w:t>，验证期夏普为</w:t>
      </w:r>
      <w:r>
        <w:t xml:space="preserve"> 1.87</w:t>
      </w:r>
      <w:r>
        <w:t>。主模型仍使用项目既定的</w:t>
      </w:r>
      <w:r>
        <w:t>252</w:t>
      </w:r>
      <w:r>
        <w:t>日和</w:t>
      </w:r>
      <w:r>
        <w:t>0.97</w:t>
      </w:r>
      <w:r>
        <w:t>参数，以保持预设口径；敏感性结果只用于说明权重反应速度与估计噪声之间的权衡，不在验证期重新调参。</w:t>
      </w:r>
    </w:p>
    <w:p w14:paraId="179B9A00" w14:textId="77777777">
      <w:pPr>
        <w:pStyle w:val="1"/>
        <w:rPr>
          <w:rFonts w:ascii="Times New Roman" w:eastAsia="宋体" w:hAnsi="Times New Roman" w:cs="Times New Roman"/>
        </w:rPr>
      </w:pPr>
      <w:bookmarkStart w:id="13" w:name="_Toc235027246"/>
      <w:r>
        <w:rPr>
          <w:rFonts w:ascii="Times New Roman" w:eastAsia="宋体" w:hAnsi="Times New Roman" w:cs="Times New Roman"/>
        </w:rPr>
        <w:t>七、一般风险预算扩展</w:t>
      </w:r>
      <w:bookmarkEnd w:id="13"/>
    </w:p>
    <w:p w14:paraId="476F9EA8" w14:textId="77777777">
      <w:pPr>
        <w:pStyle w:val="21"/>
        <w:rPr>
          <w:rFonts w:ascii="Times New Roman" w:eastAsia="宋体" w:hAnsi="Times New Roman" w:cs="Times New Roman"/>
        </w:rPr>
      </w:pPr>
      <w:r>
        <w:rPr>
          <w:rFonts w:ascii="Times New Roman" w:eastAsia="宋体" w:hAnsi="Times New Roman" w:cs="Times New Roman"/>
        </w:rPr>
        <w:t>（一）模型推广</w:t>
      </w:r>
    </w:p>
    <w:p w14:paraId="202676C3" w14:textId="77777777">
      <w:pPr>
        <w:jc w:val="both"/>
      </w:pPr>
      <w:r>
        <w:t>当</w:t>
      </w:r>
      <w:r>
        <w:t>b</w:t>
      </w:r>
      <w:r>
        <w:t>ᵢ</w:t>
      </w:r>
      <w:r>
        <w:t>不再相等时，式（</w:t>
      </w:r>
      <w:r>
        <w:t>7</w:t>
      </w:r>
      <w:r>
        <w:t>）</w:t>
      </w:r>
      <w:r>
        <w:t>—</w:t>
      </w:r>
      <w:r>
        <w:t>（</w:t>
      </w:r>
      <w:r>
        <w:t>10</w:t>
      </w:r>
      <w:r>
        <w:t>）仍然成立，阻尼牛顿法无需改变算法结构。预算提高意味着资产承担更高风险份额，但最终资金权重还取决于自身波动和与其他资产的相关性。在对角协方差下可得到闭式关系</w:t>
      </w:r>
      <w:r>
        <w:t>w</w:t>
      </w:r>
      <w:r>
        <w:t>ᵢ</w:t>
      </w:r>
      <w:r>
        <w:t>∝√(b</w:t>
      </w:r>
      <w:r>
        <w:t>ᵢ</w:t>
      </w:r>
      <w:r>
        <w:t>/Σ</w:t>
      </w:r>
      <w:r>
        <w:t>ᵢᵢ</w:t>
      </w:r>
      <w:r>
        <w:t>)</w:t>
      </w:r>
      <w:r>
        <w:t>，该关系也作为一般风险预算实现的单元测试。</w:t>
      </w:r>
    </w:p>
    <w:p w14:paraId="7EA6E79C" w14:textId="77777777">
      <w:pPr>
        <w:pStyle w:val="Equation"/>
        <w:tabs>
          <w:tab w:val="center" w:pos="4507"/>
          <w:tab w:val="right" w:pos="9014"/>
        </w:tabs>
      </w:pPr>
      <w:r>
        <w:tab/>
      </w:r>
      <m:oMath>
        <m:sSub>
          <m:sSubPr>
            <m:ctrlPr/>
          </m:sSubPr>
          <m:e>
            <m:r>
              <m:t>w</m:t>
            </m:r>
          </m:e>
          <m:sub>
            <m:r>
              <m:t>i</m:t>
            </m:r>
          </m:sub>
        </m:sSub>
        <m:r>
          <m:t>∝</m:t>
        </m:r>
        <m:rad>
          <m:radPr>
            <m:degHide m:val="1"/>
            <m:ctrlPr/>
          </m:radPr>
          <m:deg/>
          <m:e>
            <m:f>
              <m:fPr>
                <m:ctrlPr/>
              </m:fPr>
              <m:num>
                <m:sSub>
                  <m:sSubPr>
                    <m:ctrlPr/>
                  </m:sSubPr>
                  <m:e>
                    <m:r>
                      <m:t>b</m:t>
                    </m:r>
                  </m:e>
                  <m:sub>
                    <m:r>
                      <m:t>i</m:t>
                    </m:r>
                  </m:sub>
                </m:sSub>
              </m:num>
              <m:den>
                <m:sSub>
                  <m:sSubPr>
                    <m:ctrlPr/>
                  </m:sSubPr>
                  <m:e>
                    <m:r>
                      <m:t>Σ</m:t>
                    </m:r>
                  </m:e>
                  <m:sub>
                    <m:r>
                      <m:t>ii</m:t>
                    </m:r>
                  </m:sub>
                </m:sSub>
              </m:den>
            </m:f>
          </m:e>
        </m:rad>
      </m:oMath>
      <w:r>
        <w:rPr>
          <w:rFonts w:ascii="Times New Roman" w:hAnsi="Times New Roman" w:cs="Times New Roman"/>
          <w:sz w:val="21"/>
        </w:rPr>
        <w:tab/>
      </w:r>
      <w:r>
        <w:rPr>
          <w:rFonts w:ascii="Times New Roman" w:hAnsi="Times New Roman" w:cs="Times New Roman"/>
          <w:sz w:val="21"/>
        </w:rPr>
        <w:t>（</w:t>
      </w:r>
      <w:r>
        <w:rPr>
          <w:rFonts w:ascii="Times New Roman" w:hAnsi="Times New Roman" w:cs="Times New Roman"/>
          <w:sz w:val="21"/>
        </w:rPr>
        <w:t>13</w:t>
      </w:r>
      <w:r>
        <w:rPr>
          <w:rFonts w:ascii="Times New Roman" w:hAnsi="Times New Roman" w:cs="Times New Roman"/>
          <w:sz w:val="21"/>
        </w:rPr>
        <w:t>）</w:t>
      </w:r>
    </w:p>
    <w:p w14:paraId="64104488" w14:textId="77777777">
      <w:pPr>
        <w:pStyle w:val="21"/>
        <w:rPr>
          <w:rFonts w:ascii="Times New Roman" w:eastAsia="宋体" w:hAnsi="Times New Roman" w:cs="Times New Roman"/>
        </w:rPr>
      </w:pPr>
      <w:r>
        <w:rPr>
          <w:rFonts w:ascii="Times New Roman" w:eastAsia="宋体" w:hAnsi="Times New Roman" w:cs="Times New Roman"/>
        </w:rPr>
        <w:t>（二）非等额预算示例</w:t>
      </w:r>
    </w:p>
    <w:p w14:paraId="5F21EECB" w14:textId="643E5BE4">
      <w:pPr>
        <w:pStyle w:val="af7"/>
        <w:keepNext/>
        <w:jc w:val="center"/>
      </w:pPr>
      <w:r>
        <w:t>表</w:t>
      </w:r>
      <w:r>
        <w:t xml:space="preserve"> </w:t>
      </w:r>
      <w:bookmarkStart w:id="14" w:name="tbl4"/>
      <w:r>
        <w:fldChar w:fldCharType="begin"/>
      </w:r>
      <w:r>
        <w:instrText xml:space="preserve"> SEQ Table \* ARABIC </w:instrText>
      </w:r>
      <w:r>
        <w:fldChar w:fldCharType="separate"/>
      </w:r>
      <w:r>
        <w:rPr>
          <w:noProof/>
        </w:rPr>
        <w:t>4</w:t>
      </w:r>
      <w:r>
        <w:fldChar w:fldCharType="end"/>
      </w:r>
      <w:bookmarkEnd w:id="14"/>
      <w:r>
        <w:t xml:space="preserve">　</w:t>
      </w:r>
      <w:r>
        <w:t>2025-12-31</w:t>
      </w:r>
      <w:r>
        <w:t>一般风险预算代表解</w:t>
      </w:r>
    </w:p>
    <w:tbl>
      <w:tblPr>
        <w:tblStyle w:val="aff1"/>
        <w:tblW w:w="8897" w:type="dxa"/>
        <w:tblInd w:w="120" w:type="dxa"/>
        <w:tblLayout w:type="fixed"/>
        <w:tblLook w:val="04A0" w:firstRow="1" w:lastRow="0" w:firstColumn="1" w:lastColumn="0" w:noHBand="0" w:noVBand="1"/>
      </w:tblPr>
      <w:tblGrid>
        <w:gridCol w:w="1900"/>
        <w:gridCol w:w="1180"/>
        <w:gridCol w:w="1296"/>
        <w:gridCol w:w="1296"/>
        <w:gridCol w:w="1296"/>
        <w:gridCol w:w="1929"/>
      </w:tblGrid>
      <w:tr w14:paraId="14AF310A" w14:textId="77777777">
        <w:trPr>
          <w:tblHeader/>
        </w:trPr>
        <w:tc>
          <w:tcPr>
            <w:tcW w:w="1900" w:type="dxa"/>
            <w:shd w:val="clear" w:color="auto" w:fill="D9EAF7"/>
            <w:tcMar>
              <w:top w:w="80" w:type="dxa"/>
              <w:left w:w="120" w:type="dxa"/>
              <w:bottom w:w="80" w:type="dxa"/>
              <w:right w:w="120" w:type="dxa"/>
            </w:tcMar>
            <w:vAlign w:val="center"/>
          </w:tcPr>
          <w:p w14:paraId="33D2D656" w14:textId="77777777">
            <w:pPr>
              <w:spacing w:after="0" w:line="264" w:lineRule="auto"/>
              <w:ind w:firstLine="0"/>
              <w:jc w:val="center"/>
            </w:pPr>
            <w:r>
              <w:rPr>
                <w:b/>
                <w:sz w:val="17"/>
              </w:rPr>
              <w:t>资产</w:t>
            </w:r>
          </w:p>
        </w:tc>
        <w:tc>
          <w:tcPr>
            <w:tcW w:w="1180" w:type="dxa"/>
            <w:shd w:val="clear" w:color="auto" w:fill="D9EAF7"/>
            <w:tcMar>
              <w:top w:w="80" w:type="dxa"/>
              <w:left w:w="120" w:type="dxa"/>
              <w:bottom w:w="80" w:type="dxa"/>
              <w:right w:w="120" w:type="dxa"/>
            </w:tcMar>
            <w:vAlign w:val="center"/>
          </w:tcPr>
          <w:p w14:paraId="3A756CFF" w14:textId="77777777">
            <w:pPr>
              <w:spacing w:after="0" w:line="264" w:lineRule="auto"/>
              <w:ind w:firstLine="0"/>
              <w:jc w:val="center"/>
            </w:pPr>
            <w:r>
              <w:rPr>
                <w:b/>
                <w:sz w:val="17"/>
              </w:rPr>
              <w:t>预算倍率</w:t>
            </w:r>
          </w:p>
        </w:tc>
        <w:tc>
          <w:tcPr>
            <w:tcW w:w="1296" w:type="dxa"/>
            <w:shd w:val="clear" w:color="auto" w:fill="D9EAF7"/>
            <w:tcMar>
              <w:top w:w="80" w:type="dxa"/>
              <w:left w:w="120" w:type="dxa"/>
              <w:bottom w:w="80" w:type="dxa"/>
              <w:right w:w="120" w:type="dxa"/>
            </w:tcMar>
            <w:vAlign w:val="center"/>
          </w:tcPr>
          <w:p w14:paraId="45E33E9D" w14:textId="77777777">
            <w:pPr>
              <w:spacing w:after="0" w:line="264" w:lineRule="auto"/>
              <w:ind w:firstLine="0"/>
              <w:jc w:val="center"/>
            </w:pPr>
            <w:r>
              <w:rPr>
                <w:b/>
                <w:sz w:val="17"/>
              </w:rPr>
              <w:t>目标预算</w:t>
            </w:r>
          </w:p>
        </w:tc>
        <w:tc>
          <w:tcPr>
            <w:tcW w:w="1296" w:type="dxa"/>
            <w:shd w:val="clear" w:color="auto" w:fill="D9EAF7"/>
            <w:tcMar>
              <w:top w:w="80" w:type="dxa"/>
              <w:left w:w="120" w:type="dxa"/>
              <w:bottom w:w="80" w:type="dxa"/>
              <w:right w:w="120" w:type="dxa"/>
            </w:tcMar>
            <w:vAlign w:val="center"/>
          </w:tcPr>
          <w:p w14:paraId="39E5EDEB" w14:textId="77777777">
            <w:pPr>
              <w:spacing w:after="0" w:line="264" w:lineRule="auto"/>
              <w:ind w:firstLine="0"/>
              <w:jc w:val="center"/>
            </w:pPr>
            <w:r>
              <w:rPr>
                <w:b/>
                <w:sz w:val="17"/>
              </w:rPr>
              <w:t>实际</w:t>
            </w:r>
            <w:r>
              <w:rPr>
                <w:b/>
                <w:sz w:val="17"/>
              </w:rPr>
              <w:t>RC</w:t>
            </w:r>
          </w:p>
        </w:tc>
        <w:tc>
          <w:tcPr>
            <w:tcW w:w="1296" w:type="dxa"/>
            <w:shd w:val="clear" w:color="auto" w:fill="D9EAF7"/>
            <w:tcMar>
              <w:top w:w="80" w:type="dxa"/>
              <w:left w:w="120" w:type="dxa"/>
              <w:bottom w:w="80" w:type="dxa"/>
              <w:right w:w="120" w:type="dxa"/>
            </w:tcMar>
            <w:vAlign w:val="center"/>
          </w:tcPr>
          <w:p w14:paraId="44E524E4" w14:textId="77777777">
            <w:pPr>
              <w:spacing w:after="0" w:line="264" w:lineRule="auto"/>
              <w:ind w:firstLine="0"/>
              <w:jc w:val="center"/>
            </w:pPr>
            <w:r>
              <w:rPr>
                <w:b/>
                <w:sz w:val="17"/>
              </w:rPr>
              <w:t>资金权重</w:t>
            </w:r>
          </w:p>
        </w:tc>
        <w:tc>
          <w:tcPr>
            <w:tcW w:w="1929" w:type="dxa"/>
            <w:shd w:val="clear" w:color="auto" w:fill="D9EAF7"/>
            <w:tcMar>
              <w:top w:w="80" w:type="dxa"/>
              <w:left w:w="120" w:type="dxa"/>
              <w:bottom w:w="80" w:type="dxa"/>
              <w:right w:w="120" w:type="dxa"/>
            </w:tcMar>
            <w:vAlign w:val="center"/>
          </w:tcPr>
          <w:p w14:paraId="25C51479" w14:textId="77777777">
            <w:pPr>
              <w:spacing w:after="0" w:line="264" w:lineRule="auto"/>
              <w:ind w:firstLine="0"/>
              <w:jc w:val="center"/>
            </w:pPr>
            <w:r>
              <w:rPr>
                <w:b/>
                <w:sz w:val="17"/>
              </w:rPr>
              <w:t>RC</w:t>
            </w:r>
            <w:r>
              <w:rPr>
                <w:b/>
                <w:sz w:val="17"/>
              </w:rPr>
              <w:t>误差</w:t>
            </w:r>
          </w:p>
        </w:tc>
      </w:tr>
      <w:tr w14:paraId="6FF32B28" w14:textId="77777777">
        <w:tc>
          <w:tcPr>
            <w:tcW w:w="1900" w:type="dxa"/>
            <w:tcMar>
              <w:top w:w="80" w:type="dxa"/>
              <w:left w:w="120" w:type="dxa"/>
              <w:bottom w:w="80" w:type="dxa"/>
              <w:right w:w="120" w:type="dxa"/>
            </w:tcMar>
            <w:vAlign w:val="center"/>
          </w:tcPr>
          <w:p w14:paraId="1FF90043" w14:textId="77777777">
            <w:pPr>
              <w:spacing w:after="0" w:line="264" w:lineRule="auto"/>
              <w:ind w:firstLine="0"/>
              <w:jc w:val="center"/>
            </w:pPr>
            <w:r>
              <w:rPr>
                <w:sz w:val="17"/>
              </w:rPr>
              <w:t>沪深</w:t>
            </w:r>
            <w:r>
              <w:rPr>
                <w:sz w:val="17"/>
              </w:rPr>
              <w:t>300ETF</w:t>
            </w:r>
          </w:p>
        </w:tc>
        <w:tc>
          <w:tcPr>
            <w:tcW w:w="1180" w:type="dxa"/>
            <w:tcMar>
              <w:top w:w="80" w:type="dxa"/>
              <w:left w:w="120" w:type="dxa"/>
              <w:bottom w:w="80" w:type="dxa"/>
              <w:right w:w="120" w:type="dxa"/>
            </w:tcMar>
            <w:vAlign w:val="center"/>
          </w:tcPr>
          <w:p w14:paraId="2E8BC396" w14:textId="77777777">
            <w:pPr>
              <w:spacing w:after="0" w:line="264" w:lineRule="auto"/>
              <w:ind w:firstLine="0"/>
              <w:jc w:val="center"/>
            </w:pPr>
            <w:r>
              <w:rPr>
                <w:sz w:val="17"/>
              </w:rPr>
              <w:t>2.0</w:t>
            </w:r>
          </w:p>
        </w:tc>
        <w:tc>
          <w:tcPr>
            <w:tcW w:w="1296" w:type="dxa"/>
            <w:tcMar>
              <w:top w:w="80" w:type="dxa"/>
              <w:left w:w="120" w:type="dxa"/>
              <w:bottom w:w="80" w:type="dxa"/>
              <w:right w:w="120" w:type="dxa"/>
            </w:tcMar>
            <w:vAlign w:val="center"/>
          </w:tcPr>
          <w:p w14:paraId="42DB22A4" w14:textId="77777777">
            <w:pPr>
              <w:spacing w:after="0" w:line="264" w:lineRule="auto"/>
              <w:ind w:firstLine="0"/>
              <w:jc w:val="center"/>
            </w:pPr>
            <w:r>
              <w:rPr>
                <w:sz w:val="17"/>
              </w:rPr>
              <w:t>18.18%</w:t>
            </w:r>
          </w:p>
        </w:tc>
        <w:tc>
          <w:tcPr>
            <w:tcW w:w="1296" w:type="dxa"/>
            <w:tcMar>
              <w:top w:w="80" w:type="dxa"/>
              <w:left w:w="120" w:type="dxa"/>
              <w:bottom w:w="80" w:type="dxa"/>
              <w:right w:w="120" w:type="dxa"/>
            </w:tcMar>
            <w:vAlign w:val="center"/>
          </w:tcPr>
          <w:p w14:paraId="6BCCBC8D" w14:textId="77777777">
            <w:pPr>
              <w:spacing w:after="0" w:line="264" w:lineRule="auto"/>
              <w:ind w:firstLine="0"/>
              <w:jc w:val="center"/>
            </w:pPr>
            <w:r>
              <w:rPr>
                <w:sz w:val="17"/>
              </w:rPr>
              <w:t>18.18%</w:t>
            </w:r>
          </w:p>
        </w:tc>
        <w:tc>
          <w:tcPr>
            <w:tcW w:w="1296" w:type="dxa"/>
            <w:tcMar>
              <w:top w:w="80" w:type="dxa"/>
              <w:left w:w="120" w:type="dxa"/>
              <w:bottom w:w="80" w:type="dxa"/>
              <w:right w:w="120" w:type="dxa"/>
            </w:tcMar>
            <w:vAlign w:val="center"/>
          </w:tcPr>
          <w:p w14:paraId="286A584C" w14:textId="77777777">
            <w:pPr>
              <w:spacing w:after="0" w:line="264" w:lineRule="auto"/>
              <w:ind w:firstLine="0"/>
              <w:jc w:val="center"/>
            </w:pPr>
            <w:r>
              <w:rPr>
                <w:sz w:val="17"/>
              </w:rPr>
              <w:t>9.15%</w:t>
            </w:r>
          </w:p>
        </w:tc>
        <w:tc>
          <w:tcPr>
            <w:tcW w:w="1929" w:type="dxa"/>
            <w:tcMar>
              <w:top w:w="80" w:type="dxa"/>
              <w:left w:w="120" w:type="dxa"/>
              <w:bottom w:w="80" w:type="dxa"/>
              <w:right w:w="120" w:type="dxa"/>
            </w:tcMar>
            <w:vAlign w:val="center"/>
          </w:tcPr>
          <w:p w14:paraId="12CA24D1" w14:textId="77777777">
            <w:pPr>
              <w:spacing w:after="0" w:line="264" w:lineRule="auto"/>
              <w:ind w:firstLine="0"/>
              <w:jc w:val="center"/>
            </w:pPr>
            <w:r>
              <w:rPr>
                <w:sz w:val="17"/>
              </w:rPr>
              <w:t>5.75e-15</w:t>
            </w:r>
          </w:p>
        </w:tc>
      </w:tr>
      <w:tr w14:paraId="0621659E" w14:textId="77777777">
        <w:tc>
          <w:tcPr>
            <w:tcW w:w="1900" w:type="dxa"/>
            <w:tcMar>
              <w:top w:w="80" w:type="dxa"/>
              <w:left w:w="120" w:type="dxa"/>
              <w:bottom w:w="80" w:type="dxa"/>
              <w:right w:w="120" w:type="dxa"/>
            </w:tcMar>
            <w:vAlign w:val="center"/>
          </w:tcPr>
          <w:p w14:paraId="5ECB9770" w14:textId="77777777">
            <w:pPr>
              <w:spacing w:after="0" w:line="264" w:lineRule="auto"/>
              <w:ind w:firstLine="0"/>
              <w:jc w:val="center"/>
            </w:pPr>
            <w:r>
              <w:rPr>
                <w:sz w:val="17"/>
              </w:rPr>
              <w:t>中证</w:t>
            </w:r>
            <w:r>
              <w:rPr>
                <w:sz w:val="17"/>
              </w:rPr>
              <w:t>1000ETF</w:t>
            </w:r>
          </w:p>
        </w:tc>
        <w:tc>
          <w:tcPr>
            <w:tcW w:w="1180" w:type="dxa"/>
            <w:tcMar>
              <w:top w:w="80" w:type="dxa"/>
              <w:left w:w="120" w:type="dxa"/>
              <w:bottom w:w="80" w:type="dxa"/>
              <w:right w:w="120" w:type="dxa"/>
            </w:tcMar>
            <w:vAlign w:val="center"/>
          </w:tcPr>
          <w:p w14:paraId="437D91E8" w14:textId="77777777">
            <w:pPr>
              <w:spacing w:after="0" w:line="264" w:lineRule="auto"/>
              <w:ind w:firstLine="0"/>
              <w:jc w:val="center"/>
            </w:pPr>
            <w:r>
              <w:rPr>
                <w:sz w:val="17"/>
              </w:rPr>
              <w:t>2.0</w:t>
            </w:r>
          </w:p>
        </w:tc>
        <w:tc>
          <w:tcPr>
            <w:tcW w:w="1296" w:type="dxa"/>
            <w:tcMar>
              <w:top w:w="80" w:type="dxa"/>
              <w:left w:w="120" w:type="dxa"/>
              <w:bottom w:w="80" w:type="dxa"/>
              <w:right w:w="120" w:type="dxa"/>
            </w:tcMar>
            <w:vAlign w:val="center"/>
          </w:tcPr>
          <w:p w14:paraId="4353528A" w14:textId="77777777">
            <w:pPr>
              <w:spacing w:after="0" w:line="264" w:lineRule="auto"/>
              <w:ind w:firstLine="0"/>
              <w:jc w:val="center"/>
            </w:pPr>
            <w:r>
              <w:rPr>
                <w:sz w:val="17"/>
              </w:rPr>
              <w:t>18.18%</w:t>
            </w:r>
          </w:p>
        </w:tc>
        <w:tc>
          <w:tcPr>
            <w:tcW w:w="1296" w:type="dxa"/>
            <w:tcMar>
              <w:top w:w="80" w:type="dxa"/>
              <w:left w:w="120" w:type="dxa"/>
              <w:bottom w:w="80" w:type="dxa"/>
              <w:right w:w="120" w:type="dxa"/>
            </w:tcMar>
            <w:vAlign w:val="center"/>
          </w:tcPr>
          <w:p w14:paraId="6E924921" w14:textId="77777777">
            <w:pPr>
              <w:spacing w:after="0" w:line="264" w:lineRule="auto"/>
              <w:ind w:firstLine="0"/>
              <w:jc w:val="center"/>
            </w:pPr>
            <w:r>
              <w:rPr>
                <w:sz w:val="17"/>
              </w:rPr>
              <w:t>18.18%</w:t>
            </w:r>
          </w:p>
        </w:tc>
        <w:tc>
          <w:tcPr>
            <w:tcW w:w="1296" w:type="dxa"/>
            <w:tcMar>
              <w:top w:w="80" w:type="dxa"/>
              <w:left w:w="120" w:type="dxa"/>
              <w:bottom w:w="80" w:type="dxa"/>
              <w:right w:w="120" w:type="dxa"/>
            </w:tcMar>
            <w:vAlign w:val="center"/>
          </w:tcPr>
          <w:p w14:paraId="7D0C5E63" w14:textId="77777777">
            <w:pPr>
              <w:spacing w:after="0" w:line="264" w:lineRule="auto"/>
              <w:ind w:firstLine="0"/>
              <w:jc w:val="center"/>
            </w:pPr>
            <w:r>
              <w:rPr>
                <w:sz w:val="17"/>
              </w:rPr>
              <w:t>7.28%</w:t>
            </w:r>
          </w:p>
        </w:tc>
        <w:tc>
          <w:tcPr>
            <w:tcW w:w="1929" w:type="dxa"/>
            <w:tcMar>
              <w:top w:w="80" w:type="dxa"/>
              <w:left w:w="120" w:type="dxa"/>
              <w:bottom w:w="80" w:type="dxa"/>
              <w:right w:w="120" w:type="dxa"/>
            </w:tcMar>
            <w:vAlign w:val="center"/>
          </w:tcPr>
          <w:p w14:paraId="5E8DEF47" w14:textId="77777777">
            <w:pPr>
              <w:spacing w:after="0" w:line="264" w:lineRule="auto"/>
              <w:ind w:firstLine="0"/>
              <w:jc w:val="center"/>
            </w:pPr>
            <w:r>
              <w:rPr>
                <w:sz w:val="17"/>
              </w:rPr>
              <w:t>5.69e-15</w:t>
            </w:r>
          </w:p>
        </w:tc>
      </w:tr>
      <w:tr w14:paraId="7EB2EB29" w14:textId="77777777">
        <w:tc>
          <w:tcPr>
            <w:tcW w:w="1900" w:type="dxa"/>
            <w:tcMar>
              <w:top w:w="80" w:type="dxa"/>
              <w:left w:w="120" w:type="dxa"/>
              <w:bottom w:w="80" w:type="dxa"/>
              <w:right w:w="120" w:type="dxa"/>
            </w:tcMar>
            <w:vAlign w:val="center"/>
          </w:tcPr>
          <w:p w14:paraId="4A440450" w14:textId="77777777">
            <w:pPr>
              <w:spacing w:after="0" w:line="264" w:lineRule="auto"/>
              <w:ind w:firstLine="0"/>
              <w:jc w:val="center"/>
            </w:pPr>
            <w:r>
              <w:rPr>
                <w:sz w:val="17"/>
              </w:rPr>
              <w:t>红利低波</w:t>
            </w:r>
            <w:r>
              <w:rPr>
                <w:sz w:val="17"/>
              </w:rPr>
              <w:t>ETF</w:t>
            </w:r>
          </w:p>
        </w:tc>
        <w:tc>
          <w:tcPr>
            <w:tcW w:w="1180" w:type="dxa"/>
            <w:tcMar>
              <w:top w:w="80" w:type="dxa"/>
              <w:left w:w="120" w:type="dxa"/>
              <w:bottom w:w="80" w:type="dxa"/>
              <w:right w:w="120" w:type="dxa"/>
            </w:tcMar>
            <w:vAlign w:val="center"/>
          </w:tcPr>
          <w:p w14:paraId="2E664775" w14:textId="77777777">
            <w:pPr>
              <w:spacing w:after="0" w:line="264" w:lineRule="auto"/>
              <w:ind w:firstLine="0"/>
              <w:jc w:val="center"/>
            </w:pPr>
            <w:r>
              <w:rPr>
                <w:sz w:val="17"/>
              </w:rPr>
              <w:t>1.0</w:t>
            </w:r>
          </w:p>
        </w:tc>
        <w:tc>
          <w:tcPr>
            <w:tcW w:w="1296" w:type="dxa"/>
            <w:tcMar>
              <w:top w:w="80" w:type="dxa"/>
              <w:left w:w="120" w:type="dxa"/>
              <w:bottom w:w="80" w:type="dxa"/>
              <w:right w:w="120" w:type="dxa"/>
            </w:tcMar>
            <w:vAlign w:val="center"/>
          </w:tcPr>
          <w:p w14:paraId="24D0178A" w14:textId="77777777">
            <w:pPr>
              <w:spacing w:after="0" w:line="264" w:lineRule="auto"/>
              <w:ind w:firstLine="0"/>
              <w:jc w:val="center"/>
            </w:pPr>
            <w:r>
              <w:rPr>
                <w:sz w:val="17"/>
              </w:rPr>
              <w:t>9.09%</w:t>
            </w:r>
          </w:p>
        </w:tc>
        <w:tc>
          <w:tcPr>
            <w:tcW w:w="1296" w:type="dxa"/>
            <w:tcMar>
              <w:top w:w="80" w:type="dxa"/>
              <w:left w:w="120" w:type="dxa"/>
              <w:bottom w:w="80" w:type="dxa"/>
              <w:right w:w="120" w:type="dxa"/>
            </w:tcMar>
            <w:vAlign w:val="center"/>
          </w:tcPr>
          <w:p w14:paraId="5E23E046" w14:textId="77777777">
            <w:pPr>
              <w:spacing w:after="0" w:line="264" w:lineRule="auto"/>
              <w:ind w:firstLine="0"/>
              <w:jc w:val="center"/>
            </w:pPr>
            <w:r>
              <w:rPr>
                <w:sz w:val="17"/>
              </w:rPr>
              <w:t>9.09%</w:t>
            </w:r>
          </w:p>
        </w:tc>
        <w:tc>
          <w:tcPr>
            <w:tcW w:w="1296" w:type="dxa"/>
            <w:tcMar>
              <w:top w:w="80" w:type="dxa"/>
              <w:left w:w="120" w:type="dxa"/>
              <w:bottom w:w="80" w:type="dxa"/>
              <w:right w:w="120" w:type="dxa"/>
            </w:tcMar>
            <w:vAlign w:val="center"/>
          </w:tcPr>
          <w:p w14:paraId="215FC0C9" w14:textId="77777777">
            <w:pPr>
              <w:spacing w:after="0" w:line="264" w:lineRule="auto"/>
              <w:ind w:firstLine="0"/>
              <w:jc w:val="center"/>
            </w:pPr>
            <w:r>
              <w:rPr>
                <w:sz w:val="17"/>
              </w:rPr>
              <w:t>7.84%</w:t>
            </w:r>
          </w:p>
        </w:tc>
        <w:tc>
          <w:tcPr>
            <w:tcW w:w="1929" w:type="dxa"/>
            <w:tcMar>
              <w:top w:w="80" w:type="dxa"/>
              <w:left w:w="120" w:type="dxa"/>
              <w:bottom w:w="80" w:type="dxa"/>
              <w:right w:w="120" w:type="dxa"/>
            </w:tcMar>
            <w:vAlign w:val="center"/>
          </w:tcPr>
          <w:p w14:paraId="7173B350" w14:textId="77777777">
            <w:pPr>
              <w:spacing w:after="0" w:line="264" w:lineRule="auto"/>
              <w:ind w:firstLine="0"/>
              <w:jc w:val="center"/>
            </w:pPr>
            <w:r>
              <w:rPr>
                <w:sz w:val="17"/>
              </w:rPr>
              <w:t>2.84e-15</w:t>
            </w:r>
          </w:p>
        </w:tc>
      </w:tr>
      <w:tr w14:paraId="11D37CA7" w14:textId="77777777">
        <w:tc>
          <w:tcPr>
            <w:tcW w:w="1900" w:type="dxa"/>
            <w:tcMar>
              <w:top w:w="80" w:type="dxa"/>
              <w:left w:w="120" w:type="dxa"/>
              <w:bottom w:w="80" w:type="dxa"/>
              <w:right w:w="120" w:type="dxa"/>
            </w:tcMar>
            <w:vAlign w:val="center"/>
          </w:tcPr>
          <w:p w14:paraId="30F481B3" w14:textId="77777777">
            <w:pPr>
              <w:spacing w:after="0" w:line="264" w:lineRule="auto"/>
              <w:ind w:firstLine="0"/>
              <w:jc w:val="center"/>
            </w:pPr>
            <w:r>
              <w:rPr>
                <w:sz w:val="17"/>
              </w:rPr>
              <w:t>10</w:t>
            </w:r>
            <w:r>
              <w:rPr>
                <w:sz w:val="17"/>
              </w:rPr>
              <w:t>年国债</w:t>
            </w:r>
            <w:r>
              <w:rPr>
                <w:sz w:val="17"/>
              </w:rPr>
              <w:t>ETF</w:t>
            </w:r>
          </w:p>
        </w:tc>
        <w:tc>
          <w:tcPr>
            <w:tcW w:w="1180" w:type="dxa"/>
            <w:tcMar>
              <w:top w:w="80" w:type="dxa"/>
              <w:left w:w="120" w:type="dxa"/>
              <w:bottom w:w="80" w:type="dxa"/>
              <w:right w:w="120" w:type="dxa"/>
            </w:tcMar>
            <w:vAlign w:val="center"/>
          </w:tcPr>
          <w:p w14:paraId="2F2088F8" w14:textId="77777777">
            <w:pPr>
              <w:spacing w:after="0" w:line="264" w:lineRule="auto"/>
              <w:ind w:firstLine="0"/>
              <w:jc w:val="center"/>
            </w:pPr>
            <w:r>
              <w:rPr>
                <w:sz w:val="17"/>
              </w:rPr>
              <w:t>1.0</w:t>
            </w:r>
          </w:p>
        </w:tc>
        <w:tc>
          <w:tcPr>
            <w:tcW w:w="1296" w:type="dxa"/>
            <w:tcMar>
              <w:top w:w="80" w:type="dxa"/>
              <w:left w:w="120" w:type="dxa"/>
              <w:bottom w:w="80" w:type="dxa"/>
              <w:right w:w="120" w:type="dxa"/>
            </w:tcMar>
            <w:vAlign w:val="center"/>
          </w:tcPr>
          <w:p w14:paraId="0E335CE0" w14:textId="77777777">
            <w:pPr>
              <w:spacing w:after="0" w:line="264" w:lineRule="auto"/>
              <w:ind w:firstLine="0"/>
              <w:jc w:val="center"/>
            </w:pPr>
            <w:r>
              <w:rPr>
                <w:sz w:val="17"/>
              </w:rPr>
              <w:t>9.09%</w:t>
            </w:r>
          </w:p>
        </w:tc>
        <w:tc>
          <w:tcPr>
            <w:tcW w:w="1296" w:type="dxa"/>
            <w:tcMar>
              <w:top w:w="80" w:type="dxa"/>
              <w:left w:w="120" w:type="dxa"/>
              <w:bottom w:w="80" w:type="dxa"/>
              <w:right w:w="120" w:type="dxa"/>
            </w:tcMar>
            <w:vAlign w:val="center"/>
          </w:tcPr>
          <w:p w14:paraId="637EBB7D" w14:textId="77777777">
            <w:pPr>
              <w:spacing w:after="0" w:line="264" w:lineRule="auto"/>
              <w:ind w:firstLine="0"/>
              <w:jc w:val="center"/>
            </w:pPr>
            <w:r>
              <w:rPr>
                <w:sz w:val="17"/>
              </w:rPr>
              <w:t>9.09%</w:t>
            </w:r>
          </w:p>
        </w:tc>
        <w:tc>
          <w:tcPr>
            <w:tcW w:w="1296" w:type="dxa"/>
            <w:tcMar>
              <w:top w:w="80" w:type="dxa"/>
              <w:left w:w="120" w:type="dxa"/>
              <w:bottom w:w="80" w:type="dxa"/>
              <w:right w:w="120" w:type="dxa"/>
            </w:tcMar>
            <w:vAlign w:val="center"/>
          </w:tcPr>
          <w:p w14:paraId="0FEB9A82" w14:textId="77777777">
            <w:pPr>
              <w:spacing w:after="0" w:line="264" w:lineRule="auto"/>
              <w:ind w:firstLine="0"/>
              <w:jc w:val="center"/>
            </w:pPr>
            <w:r>
              <w:rPr>
                <w:sz w:val="17"/>
              </w:rPr>
              <w:t>43.15%</w:t>
            </w:r>
          </w:p>
        </w:tc>
        <w:tc>
          <w:tcPr>
            <w:tcW w:w="1929" w:type="dxa"/>
            <w:tcMar>
              <w:top w:w="80" w:type="dxa"/>
              <w:left w:w="120" w:type="dxa"/>
              <w:bottom w:w="80" w:type="dxa"/>
              <w:right w:w="120" w:type="dxa"/>
            </w:tcMar>
            <w:vAlign w:val="center"/>
          </w:tcPr>
          <w:p w14:paraId="5C931683" w14:textId="77777777">
            <w:pPr>
              <w:spacing w:after="0" w:line="264" w:lineRule="auto"/>
              <w:ind w:firstLine="0"/>
              <w:jc w:val="center"/>
            </w:pPr>
            <w:r>
              <w:rPr>
                <w:sz w:val="17"/>
              </w:rPr>
              <w:t>2.75e-14</w:t>
            </w:r>
          </w:p>
        </w:tc>
      </w:tr>
      <w:tr w14:paraId="03642120" w14:textId="77777777">
        <w:tc>
          <w:tcPr>
            <w:tcW w:w="1900" w:type="dxa"/>
            <w:tcMar>
              <w:top w:w="80" w:type="dxa"/>
              <w:left w:w="120" w:type="dxa"/>
              <w:bottom w:w="80" w:type="dxa"/>
              <w:right w:w="120" w:type="dxa"/>
            </w:tcMar>
            <w:vAlign w:val="center"/>
          </w:tcPr>
          <w:p w14:paraId="7961DD12" w14:textId="77777777">
            <w:pPr>
              <w:spacing w:after="0" w:line="264" w:lineRule="auto"/>
              <w:ind w:firstLine="0"/>
              <w:jc w:val="center"/>
            </w:pPr>
            <w:r>
              <w:rPr>
                <w:sz w:val="17"/>
              </w:rPr>
              <w:t>30</w:t>
            </w:r>
            <w:r>
              <w:rPr>
                <w:sz w:val="17"/>
              </w:rPr>
              <w:t>年国债</w:t>
            </w:r>
            <w:r>
              <w:rPr>
                <w:sz w:val="17"/>
              </w:rPr>
              <w:t>ETF</w:t>
            </w:r>
          </w:p>
        </w:tc>
        <w:tc>
          <w:tcPr>
            <w:tcW w:w="1180" w:type="dxa"/>
            <w:tcMar>
              <w:top w:w="80" w:type="dxa"/>
              <w:left w:w="120" w:type="dxa"/>
              <w:bottom w:w="80" w:type="dxa"/>
              <w:right w:w="120" w:type="dxa"/>
            </w:tcMar>
            <w:vAlign w:val="center"/>
          </w:tcPr>
          <w:p w14:paraId="3A6AE38A" w14:textId="77777777">
            <w:pPr>
              <w:spacing w:after="0" w:line="264" w:lineRule="auto"/>
              <w:ind w:firstLine="0"/>
              <w:jc w:val="center"/>
            </w:pPr>
            <w:r>
              <w:rPr>
                <w:sz w:val="17"/>
              </w:rPr>
              <w:t>1.0</w:t>
            </w:r>
          </w:p>
        </w:tc>
        <w:tc>
          <w:tcPr>
            <w:tcW w:w="1296" w:type="dxa"/>
            <w:tcMar>
              <w:top w:w="80" w:type="dxa"/>
              <w:left w:w="120" w:type="dxa"/>
              <w:bottom w:w="80" w:type="dxa"/>
              <w:right w:w="120" w:type="dxa"/>
            </w:tcMar>
            <w:vAlign w:val="center"/>
          </w:tcPr>
          <w:p w14:paraId="31A80378" w14:textId="77777777">
            <w:pPr>
              <w:spacing w:after="0" w:line="264" w:lineRule="auto"/>
              <w:ind w:firstLine="0"/>
              <w:jc w:val="center"/>
            </w:pPr>
            <w:r>
              <w:rPr>
                <w:sz w:val="17"/>
              </w:rPr>
              <w:t>9.09%</w:t>
            </w:r>
          </w:p>
        </w:tc>
        <w:tc>
          <w:tcPr>
            <w:tcW w:w="1296" w:type="dxa"/>
            <w:tcMar>
              <w:top w:w="80" w:type="dxa"/>
              <w:left w:w="120" w:type="dxa"/>
              <w:bottom w:w="80" w:type="dxa"/>
              <w:right w:w="120" w:type="dxa"/>
            </w:tcMar>
            <w:vAlign w:val="center"/>
          </w:tcPr>
          <w:p w14:paraId="1599E05F" w14:textId="77777777">
            <w:pPr>
              <w:spacing w:after="0" w:line="264" w:lineRule="auto"/>
              <w:ind w:firstLine="0"/>
              <w:jc w:val="center"/>
            </w:pPr>
            <w:r>
              <w:rPr>
                <w:sz w:val="17"/>
              </w:rPr>
              <w:t>9.09%</w:t>
            </w:r>
          </w:p>
        </w:tc>
        <w:tc>
          <w:tcPr>
            <w:tcW w:w="1296" w:type="dxa"/>
            <w:tcMar>
              <w:top w:w="80" w:type="dxa"/>
              <w:left w:w="120" w:type="dxa"/>
              <w:bottom w:w="80" w:type="dxa"/>
              <w:right w:w="120" w:type="dxa"/>
            </w:tcMar>
            <w:vAlign w:val="center"/>
          </w:tcPr>
          <w:p w14:paraId="4B4164D1" w14:textId="77777777">
            <w:pPr>
              <w:spacing w:after="0" w:line="264" w:lineRule="auto"/>
              <w:ind w:firstLine="0"/>
              <w:jc w:val="center"/>
            </w:pPr>
            <w:r>
              <w:rPr>
                <w:sz w:val="17"/>
              </w:rPr>
              <w:t>9.71%</w:t>
            </w:r>
          </w:p>
        </w:tc>
        <w:tc>
          <w:tcPr>
            <w:tcW w:w="1929" w:type="dxa"/>
            <w:tcMar>
              <w:top w:w="80" w:type="dxa"/>
              <w:left w:w="120" w:type="dxa"/>
              <w:bottom w:w="80" w:type="dxa"/>
              <w:right w:w="120" w:type="dxa"/>
            </w:tcMar>
            <w:vAlign w:val="center"/>
          </w:tcPr>
          <w:p w14:paraId="26C58AA2" w14:textId="77777777">
            <w:pPr>
              <w:spacing w:after="0" w:line="264" w:lineRule="auto"/>
              <w:ind w:firstLine="0"/>
              <w:jc w:val="center"/>
            </w:pPr>
            <w:r>
              <w:rPr>
                <w:sz w:val="17"/>
              </w:rPr>
              <w:t>2.03e-15</w:t>
            </w:r>
          </w:p>
        </w:tc>
      </w:tr>
      <w:tr w14:paraId="67CFA75F" w14:textId="77777777">
        <w:tc>
          <w:tcPr>
            <w:tcW w:w="1900" w:type="dxa"/>
            <w:tcMar>
              <w:top w:w="80" w:type="dxa"/>
              <w:left w:w="120" w:type="dxa"/>
              <w:bottom w:w="80" w:type="dxa"/>
              <w:right w:w="120" w:type="dxa"/>
            </w:tcMar>
            <w:vAlign w:val="center"/>
          </w:tcPr>
          <w:p w14:paraId="33578BE9" w14:textId="77777777">
            <w:pPr>
              <w:spacing w:after="0" w:line="264" w:lineRule="auto"/>
              <w:ind w:firstLine="0"/>
              <w:jc w:val="center"/>
            </w:pPr>
            <w:r>
              <w:rPr>
                <w:sz w:val="17"/>
              </w:rPr>
              <w:t>有色</w:t>
            </w:r>
            <w:r>
              <w:rPr>
                <w:sz w:val="17"/>
              </w:rPr>
              <w:t>ETF</w:t>
            </w:r>
          </w:p>
        </w:tc>
        <w:tc>
          <w:tcPr>
            <w:tcW w:w="1180" w:type="dxa"/>
            <w:tcMar>
              <w:top w:w="80" w:type="dxa"/>
              <w:left w:w="120" w:type="dxa"/>
              <w:bottom w:w="80" w:type="dxa"/>
              <w:right w:w="120" w:type="dxa"/>
            </w:tcMar>
            <w:vAlign w:val="center"/>
          </w:tcPr>
          <w:p w14:paraId="409F47D4" w14:textId="77777777">
            <w:pPr>
              <w:spacing w:after="0" w:line="264" w:lineRule="auto"/>
              <w:ind w:firstLine="0"/>
              <w:jc w:val="center"/>
            </w:pPr>
            <w:r>
              <w:rPr>
                <w:sz w:val="17"/>
              </w:rPr>
              <w:t>1.0</w:t>
            </w:r>
          </w:p>
        </w:tc>
        <w:tc>
          <w:tcPr>
            <w:tcW w:w="1296" w:type="dxa"/>
            <w:tcMar>
              <w:top w:w="80" w:type="dxa"/>
              <w:left w:w="120" w:type="dxa"/>
              <w:bottom w:w="80" w:type="dxa"/>
              <w:right w:w="120" w:type="dxa"/>
            </w:tcMar>
            <w:vAlign w:val="center"/>
          </w:tcPr>
          <w:p w14:paraId="39937638" w14:textId="77777777">
            <w:pPr>
              <w:spacing w:after="0" w:line="264" w:lineRule="auto"/>
              <w:ind w:firstLine="0"/>
              <w:jc w:val="center"/>
            </w:pPr>
            <w:r>
              <w:rPr>
                <w:sz w:val="17"/>
              </w:rPr>
              <w:t>9.09%</w:t>
            </w:r>
          </w:p>
        </w:tc>
        <w:tc>
          <w:tcPr>
            <w:tcW w:w="1296" w:type="dxa"/>
            <w:tcMar>
              <w:top w:w="80" w:type="dxa"/>
              <w:left w:w="120" w:type="dxa"/>
              <w:bottom w:w="80" w:type="dxa"/>
              <w:right w:w="120" w:type="dxa"/>
            </w:tcMar>
            <w:vAlign w:val="center"/>
          </w:tcPr>
          <w:p w14:paraId="692B12E4" w14:textId="77777777">
            <w:pPr>
              <w:spacing w:after="0" w:line="264" w:lineRule="auto"/>
              <w:ind w:firstLine="0"/>
              <w:jc w:val="center"/>
            </w:pPr>
            <w:r>
              <w:rPr>
                <w:sz w:val="17"/>
              </w:rPr>
              <w:t>9.09%</w:t>
            </w:r>
          </w:p>
        </w:tc>
        <w:tc>
          <w:tcPr>
            <w:tcW w:w="1296" w:type="dxa"/>
            <w:tcMar>
              <w:top w:w="80" w:type="dxa"/>
              <w:left w:w="120" w:type="dxa"/>
              <w:bottom w:w="80" w:type="dxa"/>
              <w:right w:w="120" w:type="dxa"/>
            </w:tcMar>
            <w:vAlign w:val="center"/>
          </w:tcPr>
          <w:p w14:paraId="348098C9" w14:textId="77777777">
            <w:pPr>
              <w:spacing w:after="0" w:line="264" w:lineRule="auto"/>
              <w:ind w:firstLine="0"/>
              <w:jc w:val="center"/>
            </w:pPr>
            <w:r>
              <w:rPr>
                <w:sz w:val="17"/>
              </w:rPr>
              <w:t>5.82%</w:t>
            </w:r>
          </w:p>
        </w:tc>
        <w:tc>
          <w:tcPr>
            <w:tcW w:w="1929" w:type="dxa"/>
            <w:tcMar>
              <w:top w:w="80" w:type="dxa"/>
              <w:left w:w="120" w:type="dxa"/>
              <w:bottom w:w="80" w:type="dxa"/>
              <w:right w:w="120" w:type="dxa"/>
            </w:tcMar>
            <w:vAlign w:val="center"/>
          </w:tcPr>
          <w:p w14:paraId="44721656" w14:textId="77777777">
            <w:pPr>
              <w:spacing w:after="0" w:line="264" w:lineRule="auto"/>
              <w:ind w:firstLine="0"/>
              <w:jc w:val="center"/>
            </w:pPr>
            <w:r>
              <w:rPr>
                <w:sz w:val="17"/>
              </w:rPr>
              <w:t>2.84e-15</w:t>
            </w:r>
          </w:p>
        </w:tc>
      </w:tr>
      <w:tr w14:paraId="431B5A5A" w14:textId="77777777">
        <w:tc>
          <w:tcPr>
            <w:tcW w:w="1900" w:type="dxa"/>
            <w:tcMar>
              <w:top w:w="80" w:type="dxa"/>
              <w:left w:w="120" w:type="dxa"/>
              <w:bottom w:w="80" w:type="dxa"/>
              <w:right w:w="120" w:type="dxa"/>
            </w:tcMar>
            <w:vAlign w:val="center"/>
          </w:tcPr>
          <w:p w14:paraId="2454E851" w14:textId="77777777">
            <w:pPr>
              <w:spacing w:after="0" w:line="264" w:lineRule="auto"/>
              <w:ind w:firstLine="0"/>
              <w:jc w:val="center"/>
            </w:pPr>
            <w:r>
              <w:rPr>
                <w:sz w:val="17"/>
              </w:rPr>
              <w:t>能源化工</w:t>
            </w:r>
            <w:r>
              <w:rPr>
                <w:sz w:val="17"/>
              </w:rPr>
              <w:t>ETF</w:t>
            </w:r>
          </w:p>
        </w:tc>
        <w:tc>
          <w:tcPr>
            <w:tcW w:w="1180" w:type="dxa"/>
            <w:tcMar>
              <w:top w:w="80" w:type="dxa"/>
              <w:left w:w="120" w:type="dxa"/>
              <w:bottom w:w="80" w:type="dxa"/>
              <w:right w:w="120" w:type="dxa"/>
            </w:tcMar>
            <w:vAlign w:val="center"/>
          </w:tcPr>
          <w:p w14:paraId="6861281E" w14:textId="77777777">
            <w:pPr>
              <w:spacing w:after="0" w:line="264" w:lineRule="auto"/>
              <w:ind w:firstLine="0"/>
              <w:jc w:val="center"/>
            </w:pPr>
            <w:r>
              <w:rPr>
                <w:sz w:val="17"/>
              </w:rPr>
              <w:t>1.0</w:t>
            </w:r>
          </w:p>
        </w:tc>
        <w:tc>
          <w:tcPr>
            <w:tcW w:w="1296" w:type="dxa"/>
            <w:tcMar>
              <w:top w:w="80" w:type="dxa"/>
              <w:left w:w="120" w:type="dxa"/>
              <w:bottom w:w="80" w:type="dxa"/>
              <w:right w:w="120" w:type="dxa"/>
            </w:tcMar>
            <w:vAlign w:val="center"/>
          </w:tcPr>
          <w:p w14:paraId="724CE5AE" w14:textId="77777777">
            <w:pPr>
              <w:spacing w:after="0" w:line="264" w:lineRule="auto"/>
              <w:ind w:firstLine="0"/>
              <w:jc w:val="center"/>
            </w:pPr>
            <w:r>
              <w:rPr>
                <w:sz w:val="17"/>
              </w:rPr>
              <w:t>9.09%</w:t>
            </w:r>
          </w:p>
        </w:tc>
        <w:tc>
          <w:tcPr>
            <w:tcW w:w="1296" w:type="dxa"/>
            <w:tcMar>
              <w:top w:w="80" w:type="dxa"/>
              <w:left w:w="120" w:type="dxa"/>
              <w:bottom w:w="80" w:type="dxa"/>
              <w:right w:w="120" w:type="dxa"/>
            </w:tcMar>
            <w:vAlign w:val="center"/>
          </w:tcPr>
          <w:p w14:paraId="0B143BCD" w14:textId="77777777">
            <w:pPr>
              <w:spacing w:after="0" w:line="264" w:lineRule="auto"/>
              <w:ind w:firstLine="0"/>
              <w:jc w:val="center"/>
            </w:pPr>
            <w:r>
              <w:rPr>
                <w:sz w:val="17"/>
              </w:rPr>
              <w:t>9.09%</w:t>
            </w:r>
          </w:p>
        </w:tc>
        <w:tc>
          <w:tcPr>
            <w:tcW w:w="1296" w:type="dxa"/>
            <w:tcMar>
              <w:top w:w="80" w:type="dxa"/>
              <w:left w:w="120" w:type="dxa"/>
              <w:bottom w:w="80" w:type="dxa"/>
              <w:right w:w="120" w:type="dxa"/>
            </w:tcMar>
            <w:vAlign w:val="center"/>
          </w:tcPr>
          <w:p w14:paraId="2246D70E" w14:textId="77777777">
            <w:pPr>
              <w:spacing w:after="0" w:line="264" w:lineRule="auto"/>
              <w:ind w:firstLine="0"/>
              <w:jc w:val="center"/>
            </w:pPr>
            <w:r>
              <w:rPr>
                <w:sz w:val="17"/>
              </w:rPr>
              <w:t>5.06%</w:t>
            </w:r>
          </w:p>
        </w:tc>
        <w:tc>
          <w:tcPr>
            <w:tcW w:w="1929" w:type="dxa"/>
            <w:tcMar>
              <w:top w:w="80" w:type="dxa"/>
              <w:left w:w="120" w:type="dxa"/>
              <w:bottom w:w="80" w:type="dxa"/>
              <w:right w:w="120" w:type="dxa"/>
            </w:tcMar>
            <w:vAlign w:val="center"/>
          </w:tcPr>
          <w:p w14:paraId="12B4F4AD" w14:textId="77777777">
            <w:pPr>
              <w:spacing w:after="0" w:line="264" w:lineRule="auto"/>
              <w:ind w:firstLine="0"/>
              <w:jc w:val="center"/>
            </w:pPr>
            <w:r>
              <w:rPr>
                <w:sz w:val="17"/>
              </w:rPr>
              <w:t>2.78e-15</w:t>
            </w:r>
          </w:p>
        </w:tc>
      </w:tr>
      <w:tr w14:paraId="5C0C465E" w14:textId="77777777">
        <w:tc>
          <w:tcPr>
            <w:tcW w:w="1900" w:type="dxa"/>
            <w:tcMar>
              <w:top w:w="80" w:type="dxa"/>
              <w:left w:w="120" w:type="dxa"/>
              <w:bottom w:w="80" w:type="dxa"/>
              <w:right w:w="120" w:type="dxa"/>
            </w:tcMar>
            <w:vAlign w:val="center"/>
          </w:tcPr>
          <w:p w14:paraId="0B660FCE" w14:textId="77777777">
            <w:pPr>
              <w:spacing w:after="0" w:line="264" w:lineRule="auto"/>
              <w:ind w:firstLine="0"/>
              <w:jc w:val="center"/>
            </w:pPr>
            <w:r>
              <w:rPr>
                <w:sz w:val="17"/>
              </w:rPr>
              <w:t>豆粕</w:t>
            </w:r>
            <w:r>
              <w:rPr>
                <w:sz w:val="17"/>
              </w:rPr>
              <w:t>ETF</w:t>
            </w:r>
          </w:p>
        </w:tc>
        <w:tc>
          <w:tcPr>
            <w:tcW w:w="1180" w:type="dxa"/>
            <w:tcMar>
              <w:top w:w="80" w:type="dxa"/>
              <w:left w:w="120" w:type="dxa"/>
              <w:bottom w:w="80" w:type="dxa"/>
              <w:right w:w="120" w:type="dxa"/>
            </w:tcMar>
            <w:vAlign w:val="center"/>
          </w:tcPr>
          <w:p w14:paraId="657914E5" w14:textId="77777777">
            <w:pPr>
              <w:spacing w:after="0" w:line="264" w:lineRule="auto"/>
              <w:ind w:firstLine="0"/>
              <w:jc w:val="center"/>
            </w:pPr>
            <w:r>
              <w:rPr>
                <w:sz w:val="17"/>
              </w:rPr>
              <w:t>1.0</w:t>
            </w:r>
          </w:p>
        </w:tc>
        <w:tc>
          <w:tcPr>
            <w:tcW w:w="1296" w:type="dxa"/>
            <w:tcMar>
              <w:top w:w="80" w:type="dxa"/>
              <w:left w:w="120" w:type="dxa"/>
              <w:bottom w:w="80" w:type="dxa"/>
              <w:right w:w="120" w:type="dxa"/>
            </w:tcMar>
            <w:vAlign w:val="center"/>
          </w:tcPr>
          <w:p w14:paraId="712384D5" w14:textId="77777777">
            <w:pPr>
              <w:spacing w:after="0" w:line="264" w:lineRule="auto"/>
              <w:ind w:firstLine="0"/>
              <w:jc w:val="center"/>
            </w:pPr>
            <w:r>
              <w:rPr>
                <w:sz w:val="17"/>
              </w:rPr>
              <w:t>9.09%</w:t>
            </w:r>
          </w:p>
        </w:tc>
        <w:tc>
          <w:tcPr>
            <w:tcW w:w="1296" w:type="dxa"/>
            <w:tcMar>
              <w:top w:w="80" w:type="dxa"/>
              <w:left w:w="120" w:type="dxa"/>
              <w:bottom w:w="80" w:type="dxa"/>
              <w:right w:w="120" w:type="dxa"/>
            </w:tcMar>
            <w:vAlign w:val="center"/>
          </w:tcPr>
          <w:p w14:paraId="7AABD1F1" w14:textId="77777777">
            <w:pPr>
              <w:spacing w:after="0" w:line="264" w:lineRule="auto"/>
              <w:ind w:firstLine="0"/>
              <w:jc w:val="center"/>
            </w:pPr>
            <w:r>
              <w:rPr>
                <w:sz w:val="17"/>
              </w:rPr>
              <w:t>9.09%</w:t>
            </w:r>
          </w:p>
        </w:tc>
        <w:tc>
          <w:tcPr>
            <w:tcW w:w="1296" w:type="dxa"/>
            <w:tcMar>
              <w:top w:w="80" w:type="dxa"/>
              <w:left w:w="120" w:type="dxa"/>
              <w:bottom w:w="80" w:type="dxa"/>
              <w:right w:w="120" w:type="dxa"/>
            </w:tcMar>
            <w:vAlign w:val="center"/>
          </w:tcPr>
          <w:p w14:paraId="2CA2006A" w14:textId="77777777">
            <w:pPr>
              <w:spacing w:after="0" w:line="264" w:lineRule="auto"/>
              <w:ind w:firstLine="0"/>
              <w:jc w:val="center"/>
            </w:pPr>
            <w:r>
              <w:rPr>
                <w:sz w:val="17"/>
              </w:rPr>
              <w:t>7.48%</w:t>
            </w:r>
          </w:p>
        </w:tc>
        <w:tc>
          <w:tcPr>
            <w:tcW w:w="1929" w:type="dxa"/>
            <w:tcMar>
              <w:top w:w="80" w:type="dxa"/>
              <w:left w:w="120" w:type="dxa"/>
              <w:bottom w:w="80" w:type="dxa"/>
              <w:right w:w="120" w:type="dxa"/>
            </w:tcMar>
            <w:vAlign w:val="center"/>
          </w:tcPr>
          <w:p w14:paraId="5DF6B1B5" w14:textId="77777777">
            <w:pPr>
              <w:spacing w:after="0" w:line="264" w:lineRule="auto"/>
              <w:ind w:firstLine="0"/>
              <w:jc w:val="center"/>
            </w:pPr>
            <w:r>
              <w:rPr>
                <w:sz w:val="17"/>
              </w:rPr>
              <w:t>2.84e-15</w:t>
            </w:r>
          </w:p>
        </w:tc>
      </w:tr>
      <w:tr w14:paraId="738BF01B" w14:textId="77777777">
        <w:tc>
          <w:tcPr>
            <w:tcW w:w="1900" w:type="dxa"/>
            <w:tcMar>
              <w:top w:w="80" w:type="dxa"/>
              <w:left w:w="120" w:type="dxa"/>
              <w:bottom w:w="80" w:type="dxa"/>
              <w:right w:w="120" w:type="dxa"/>
            </w:tcMar>
            <w:vAlign w:val="center"/>
          </w:tcPr>
          <w:p w14:paraId="5DF46747" w14:textId="77777777">
            <w:pPr>
              <w:spacing w:after="0" w:line="264" w:lineRule="auto"/>
              <w:ind w:firstLine="0"/>
              <w:jc w:val="center"/>
            </w:pPr>
            <w:r>
              <w:rPr>
                <w:sz w:val="17"/>
              </w:rPr>
              <w:t>黄金</w:t>
            </w:r>
            <w:r>
              <w:rPr>
                <w:sz w:val="17"/>
              </w:rPr>
              <w:t>ETF</w:t>
            </w:r>
          </w:p>
        </w:tc>
        <w:tc>
          <w:tcPr>
            <w:tcW w:w="1180" w:type="dxa"/>
            <w:tcMar>
              <w:top w:w="80" w:type="dxa"/>
              <w:left w:w="120" w:type="dxa"/>
              <w:bottom w:w="80" w:type="dxa"/>
              <w:right w:w="120" w:type="dxa"/>
            </w:tcMar>
            <w:vAlign w:val="center"/>
          </w:tcPr>
          <w:p w14:paraId="042AF48D" w14:textId="77777777">
            <w:pPr>
              <w:spacing w:after="0" w:line="264" w:lineRule="auto"/>
              <w:ind w:firstLine="0"/>
              <w:jc w:val="center"/>
            </w:pPr>
            <w:r>
              <w:rPr>
                <w:sz w:val="17"/>
              </w:rPr>
              <w:t>1.0</w:t>
            </w:r>
          </w:p>
        </w:tc>
        <w:tc>
          <w:tcPr>
            <w:tcW w:w="1296" w:type="dxa"/>
            <w:tcMar>
              <w:top w:w="80" w:type="dxa"/>
              <w:left w:w="120" w:type="dxa"/>
              <w:bottom w:w="80" w:type="dxa"/>
              <w:right w:w="120" w:type="dxa"/>
            </w:tcMar>
            <w:vAlign w:val="center"/>
          </w:tcPr>
          <w:p w14:paraId="7EF46BF5" w14:textId="77777777">
            <w:pPr>
              <w:spacing w:after="0" w:line="264" w:lineRule="auto"/>
              <w:ind w:firstLine="0"/>
              <w:jc w:val="center"/>
            </w:pPr>
            <w:r>
              <w:rPr>
                <w:sz w:val="17"/>
              </w:rPr>
              <w:t>9.09%</w:t>
            </w:r>
          </w:p>
        </w:tc>
        <w:tc>
          <w:tcPr>
            <w:tcW w:w="1296" w:type="dxa"/>
            <w:tcMar>
              <w:top w:w="80" w:type="dxa"/>
              <w:left w:w="120" w:type="dxa"/>
              <w:bottom w:w="80" w:type="dxa"/>
              <w:right w:w="120" w:type="dxa"/>
            </w:tcMar>
            <w:vAlign w:val="center"/>
          </w:tcPr>
          <w:p w14:paraId="01DE92B0" w14:textId="77777777">
            <w:pPr>
              <w:spacing w:after="0" w:line="264" w:lineRule="auto"/>
              <w:ind w:firstLine="0"/>
              <w:jc w:val="center"/>
            </w:pPr>
            <w:r>
              <w:rPr>
                <w:sz w:val="17"/>
              </w:rPr>
              <w:t>9.09%</w:t>
            </w:r>
          </w:p>
        </w:tc>
        <w:tc>
          <w:tcPr>
            <w:tcW w:w="1296" w:type="dxa"/>
            <w:tcMar>
              <w:top w:w="80" w:type="dxa"/>
              <w:left w:w="120" w:type="dxa"/>
              <w:bottom w:w="80" w:type="dxa"/>
              <w:right w:w="120" w:type="dxa"/>
            </w:tcMar>
            <w:vAlign w:val="center"/>
          </w:tcPr>
          <w:p w14:paraId="52AE2701" w14:textId="77777777">
            <w:pPr>
              <w:spacing w:after="0" w:line="264" w:lineRule="auto"/>
              <w:ind w:firstLine="0"/>
              <w:jc w:val="center"/>
            </w:pPr>
            <w:r>
              <w:rPr>
                <w:sz w:val="17"/>
              </w:rPr>
              <w:t>4.51%</w:t>
            </w:r>
          </w:p>
        </w:tc>
        <w:tc>
          <w:tcPr>
            <w:tcW w:w="1929" w:type="dxa"/>
            <w:tcMar>
              <w:top w:w="80" w:type="dxa"/>
              <w:left w:w="120" w:type="dxa"/>
              <w:bottom w:w="80" w:type="dxa"/>
              <w:right w:w="120" w:type="dxa"/>
            </w:tcMar>
            <w:vAlign w:val="center"/>
          </w:tcPr>
          <w:p w14:paraId="7E1B2CA0" w14:textId="77777777">
            <w:pPr>
              <w:spacing w:after="0" w:line="264" w:lineRule="auto"/>
              <w:ind w:firstLine="0"/>
              <w:jc w:val="center"/>
            </w:pPr>
            <w:r>
              <w:rPr>
                <w:sz w:val="17"/>
              </w:rPr>
              <w:t>2.80e-15</w:t>
            </w:r>
          </w:p>
        </w:tc>
      </w:tr>
    </w:tbl>
    <w:p w14:paraId="5A8730EC" w14:textId="77777777">
      <w:pPr>
        <w:spacing w:after="40"/>
        <w:ind w:firstLine="0"/>
      </w:pPr>
    </w:p>
    <w:p w14:paraId="0F6CA3FB" w14:textId="77777777">
      <w:pPr>
        <w:keepNext/>
        <w:spacing w:before="80" w:after="0"/>
        <w:ind w:firstLine="0"/>
        <w:jc w:val="center"/>
      </w:pPr>
      <w:r>
        <w:rPr>
          <w:noProof/>
        </w:rPr>
        <w:lastRenderedPageBreak/>
        <w:drawing>
          <wp:inline distT="0" distB="0" distL="0" distR="0" wp14:anchorId="42F13759" wp14:editId="3AE517EA">
            <wp:extent cx="5394960" cy="2633327"/>
            <wp:effectExtent l="0" t="0" r="0" b="0"/>
            <wp:docPr id="5" name="Picture 5" descr="一般风险预算的目标贡献、实际贡献与资金权重" title="一般风险预算的目标贡献、实际贡献与资金权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sk_budget_extension.png"/>
                    <pic:cNvPicPr/>
                  </pic:nvPicPr>
                  <pic:blipFill>
                    <a:blip r:embed="rId12"/>
                    <a:stretch>
                      <a:fillRect/>
                    </a:stretch>
                  </pic:blipFill>
                  <pic:spPr>
                    <a:xfrm>
                      <a:off x="0" y="0"/>
                      <a:ext cx="5394960" cy="2633327"/>
                    </a:xfrm>
                    <a:prstGeom prst="rect">
                      <a:avLst/>
                    </a:prstGeom>
                  </pic:spPr>
                </pic:pic>
              </a:graphicData>
            </a:graphic>
          </wp:inline>
        </w:drawing>
      </w:r>
    </w:p>
    <w:p w14:paraId="55DB8A48" w14:textId="58332905">
      <w:pPr>
        <w:pStyle w:val="af7"/>
        <w:keepLines/>
        <w:jc w:val="center"/>
      </w:pPr>
      <w:r>
        <w:t>图</w:t>
      </w:r>
      <w:r>
        <w:t xml:space="preserve"> </w:t>
      </w:r>
      <w:bookmarkStart w:id="15" w:name="fig5"/>
      <w:r>
        <w:fldChar w:fldCharType="begin"/>
      </w:r>
      <w:r>
        <w:instrText xml:space="preserve"> SEQ Figure \* ARABIC </w:instrText>
      </w:r>
      <w:r>
        <w:fldChar w:fldCharType="separate"/>
      </w:r>
      <w:r>
        <w:rPr>
          <w:noProof/>
        </w:rPr>
        <w:t>5</w:t>
      </w:r>
      <w:r>
        <w:fldChar w:fldCharType="end"/>
      </w:r>
      <w:bookmarkEnd w:id="15"/>
      <w:r>
        <w:t xml:space="preserve">　一般风险预算的目标贡献、实际贡献与资金权重</w:t>
      </w:r>
    </w:p>
    <w:p w14:paraId="6254CB8A" w14:textId="15B77B7D">
      <w:pPr>
        <w:jc w:val="both"/>
      </w:pPr>
      <w:r>
        <w:t>代表实验将沪深</w:t>
      </w:r>
      <w:r>
        <w:t>300ETF</w:t>
      </w:r>
      <w:r>
        <w:t>和中证</w:t>
      </w:r>
      <w:r>
        <w:t>1000ETF</w:t>
      </w:r>
      <w:r>
        <w:t>的预算倍率设为</w:t>
      </w:r>
      <w:r>
        <w:t>2</w:t>
      </w:r>
      <w:r>
        <w:t>，其余资产为</w:t>
      </w:r>
      <w:r>
        <w:t>1</w:t>
      </w:r>
      <w:r>
        <w:t>。归一化后，两类权益资产的目标风险预算均为</w:t>
      </w:r>
      <w:r>
        <w:t>18.18%</w:t>
      </w:r>
      <w:r>
        <w:t>，其他资产为</w:t>
      </w:r>
      <w:r>
        <w:t>9.09%</w:t>
      </w:r>
      <w:r>
        <w:t>。详细结果见表</w:t>
      </w:r>
      <w:r>
        <w:t xml:space="preserve"> </w:t>
      </w:r>
      <w:r>
        <w:fldChar w:fldCharType="begin"/>
      </w:r>
      <w:r>
        <w:instrText xml:space="preserve"> REF tbl4 \h </w:instrText>
      </w:r>
      <w:r>
        <w:fldChar w:fldCharType="separate"/>
      </w:r>
      <w:r>
        <w:rPr>
          <w:noProof/>
        </w:rPr>
        <w:t>4</w:t>
      </w:r>
      <w:r>
        <w:fldChar w:fldCharType="end"/>
      </w:r>
      <w:r>
        <w:t>，最大预算跟踪误差为</w:t>
      </w:r>
      <w:r>
        <w:t xml:space="preserve"> 2.75e-14</w:t>
      </w:r>
      <w:r>
        <w:t>。</w:t>
      </w:r>
    </w:p>
    <w:p w14:paraId="6A114FBC" w14:textId="7F7FB664">
      <w:pPr>
        <w:jc w:val="both"/>
      </w:pPr>
      <w:r>
        <w:t>目标预算、实际风险贡献和资金权重的关系见图</w:t>
      </w:r>
      <w:r>
        <w:t xml:space="preserve"> </w:t>
      </w:r>
      <w:r>
        <w:fldChar w:fldCharType="begin"/>
      </w:r>
      <w:r>
        <w:instrText xml:space="preserve"> REF fig5 \h </w:instrText>
      </w:r>
      <w:r>
        <w:fldChar w:fldCharType="separate"/>
      </w:r>
      <w:r>
        <w:rPr>
          <w:noProof/>
        </w:rPr>
        <w:t>5</w:t>
      </w:r>
      <w:r>
        <w:fldChar w:fldCharType="end"/>
      </w:r>
      <w:r>
        <w:t>。实际</w:t>
      </w:r>
      <w:r>
        <w:t>RC</w:t>
      </w:r>
      <w:r>
        <w:t>几乎与目标重合，说明同一凸模型可以准确实现非等额预算；资金权重则不会简单按预算倍率同比变化。该实验只证明模型推广和数值求解能力，不意味着提高权益风险预算能够改善未来收益。</w:t>
      </w:r>
    </w:p>
    <w:p w14:paraId="352CE100" w14:textId="77777777">
      <w:pPr>
        <w:pStyle w:val="1"/>
        <w:rPr>
          <w:rFonts w:ascii="Times New Roman" w:eastAsia="宋体" w:hAnsi="Times New Roman" w:cs="Times New Roman"/>
        </w:rPr>
      </w:pPr>
      <w:bookmarkStart w:id="16" w:name="_Toc235027247"/>
      <w:r>
        <w:rPr>
          <w:rFonts w:ascii="Times New Roman" w:eastAsia="宋体" w:hAnsi="Times New Roman" w:cs="Times New Roman"/>
        </w:rPr>
        <w:t>八、结论与局限</w:t>
      </w:r>
      <w:bookmarkEnd w:id="16"/>
    </w:p>
    <w:p w14:paraId="15C08097" w14:textId="77777777">
      <w:pPr>
        <w:pStyle w:val="21"/>
        <w:rPr>
          <w:rFonts w:ascii="Times New Roman" w:eastAsia="宋体" w:hAnsi="Times New Roman" w:cs="Times New Roman"/>
        </w:rPr>
      </w:pPr>
      <w:r>
        <w:rPr>
          <w:rFonts w:ascii="Times New Roman" w:eastAsia="宋体" w:hAnsi="Times New Roman" w:cs="Times New Roman"/>
        </w:rPr>
        <w:t>（一）主要结论</w:t>
      </w:r>
    </w:p>
    <w:p w14:paraId="1511CE31" w14:textId="77777777">
      <w:pPr>
        <w:jc w:val="both"/>
      </w:pPr>
      <w:r>
        <w:t>第一，风险预算条件可以转化为正权重域上的严格凸问题，解析梯度、</w:t>
      </w:r>
      <w:r>
        <w:t>Hessian</w:t>
      </w:r>
      <w:r>
        <w:t>和</w:t>
      </w:r>
      <w:r>
        <w:t>KKT</w:t>
      </w:r>
      <w:r>
        <w:t>条件共同保证唯一解及风险贡献等价关系。第二，带正权重步长和</w:t>
      </w:r>
      <w:r>
        <w:t>Armijo</w:t>
      </w:r>
      <w:r>
        <w:t>回溯的阻尼牛顿法能够利用问题的二阶结构，以较少迭代达到高精度；求解器内部状态仍需由</w:t>
      </w:r>
      <w:r>
        <w:t>RC</w:t>
      </w:r>
      <w:r>
        <w:t>误差和权重约束独立复核。第三，样本外结果显示</w:t>
      </w:r>
      <w:r>
        <w:t>ERC</w:t>
      </w:r>
      <w:r>
        <w:t>主要降低波动和最大回撤，提高风险调整后收益，但不保证最高绝对收益。第四，一般风险预算可以表达非等额风险偏好，且无需改变凸目标和核心求解流程。</w:t>
      </w:r>
    </w:p>
    <w:p w14:paraId="671FDD27" w14:textId="77777777">
      <w:pPr>
        <w:pStyle w:val="21"/>
        <w:rPr>
          <w:rFonts w:ascii="Times New Roman" w:eastAsia="宋体" w:hAnsi="Times New Roman" w:cs="Times New Roman"/>
        </w:rPr>
      </w:pPr>
      <w:r>
        <w:rPr>
          <w:rFonts w:ascii="Times New Roman" w:eastAsia="宋体" w:hAnsi="Times New Roman" w:cs="Times New Roman"/>
        </w:rPr>
        <w:t>（二）研究局限</w:t>
      </w:r>
    </w:p>
    <w:p w14:paraId="4C741994" w14:textId="77777777">
      <w:pPr>
        <w:jc w:val="both"/>
      </w:pPr>
      <w:r>
        <w:t>本研究仍有四点局限：</w:t>
      </w:r>
      <w:r>
        <w:t>ETF</w:t>
      </w:r>
      <w:r>
        <w:t>成立前使用指数代理，未完整刻画真实可交易性和跟踪误差；风险矩阵依赖有限窗口和</w:t>
      </w:r>
      <w:r>
        <w:t>EWMA</w:t>
      </w:r>
      <w:r>
        <w:t>参数，尚未系统比较收缩估计或因子模型；回测采用固定</w:t>
      </w:r>
      <w:r>
        <w:t>5bp</w:t>
      </w:r>
      <w:r>
        <w:t>成本，未覆盖冲击成本和容量约束；样本外结果来自特定资产池和市场时期，不能外推为未来收益保证。后续可在保持凸结构的前提下研究协方差收缩、权重上下限、换手惩罚和滚动交叉验证。</w:t>
      </w:r>
    </w:p>
    <w:p w14:paraId="1D0618A3" w14:textId="77777777">
      <w:pPr>
        <w:pStyle w:val="1"/>
        <w:rPr>
          <w:rFonts w:ascii="Times New Roman" w:eastAsia="宋体" w:hAnsi="Times New Roman" w:cs="Times New Roman"/>
        </w:rPr>
      </w:pPr>
      <w:bookmarkStart w:id="17" w:name="_Toc235027248"/>
      <w:r>
        <w:rPr>
          <w:rFonts w:ascii="Times New Roman" w:eastAsia="宋体" w:hAnsi="Times New Roman" w:cs="Times New Roman"/>
        </w:rPr>
        <w:lastRenderedPageBreak/>
        <w:t>参考文献</w:t>
      </w:r>
      <w:bookmarkEnd w:id="17"/>
    </w:p>
    <w:p w14:paraId="0DEBDED7" w14:textId="77777777">
      <w:pPr>
        <w:spacing w:after="80" w:line="288" w:lineRule="auto"/>
        <w:ind w:left="420" w:hanging="420"/>
      </w:pPr>
      <w:r>
        <w:rPr>
          <w:sz w:val="21"/>
        </w:rPr>
        <w:t>[1] MARKOWITZ H. Portfolio selection[J]. The Journal of Finance, 1952, 7(1): 77-91.</w:t>
      </w:r>
    </w:p>
    <w:p w14:paraId="2CD0855F" w14:textId="77777777">
      <w:pPr>
        <w:spacing w:after="80" w:line="288" w:lineRule="auto"/>
        <w:ind w:left="420" w:hanging="420"/>
      </w:pPr>
      <w:r>
        <w:rPr>
          <w:sz w:val="21"/>
        </w:rPr>
        <w:t>[2] TASCHE D. Capital allocation to business units and sub-portfolios: The Euler principle[EB/OL]. arXiv:0708.2542, 2008.</w:t>
      </w:r>
    </w:p>
    <w:p w14:paraId="569947E1" w14:textId="77777777">
      <w:pPr>
        <w:spacing w:after="80" w:line="288" w:lineRule="auto"/>
        <w:ind w:left="420" w:hanging="420"/>
      </w:pPr>
      <w:r>
        <w:rPr>
          <w:sz w:val="21"/>
        </w:rPr>
        <w:t>[3] MAILLARD S, RONCALLI T, TEÏLETCHE J. On the properties of equally-weighted risk contributions portfolios[J]. The Journal of Portfolio Management, 2010, 36(4): 60-70.</w:t>
      </w:r>
    </w:p>
    <w:p w14:paraId="51676FAF" w14:textId="77777777">
      <w:pPr>
        <w:spacing w:after="80" w:line="288" w:lineRule="auto"/>
        <w:ind w:left="420" w:hanging="420"/>
      </w:pPr>
      <w:r>
        <w:rPr>
          <w:sz w:val="21"/>
        </w:rPr>
        <w:t>[4] BRUDER B, RONCALLI T. Managing risk exposures using the risk budgeting approach[R]. MPRA Paper No. 37749, 2012.</w:t>
      </w:r>
    </w:p>
    <w:p w14:paraId="08346A77" w14:textId="77777777">
      <w:pPr>
        <w:spacing w:after="80" w:line="288" w:lineRule="auto"/>
        <w:ind w:left="420" w:hanging="420"/>
      </w:pPr>
      <w:r>
        <w:rPr>
          <w:sz w:val="21"/>
        </w:rPr>
        <w:t>[5] CETINGOZ A R, FERMANIAN J D, GUÉANT O. Risk budgeting portfolios: Existence and computation[EB/OL]. arXiv:2211.07212, 2023.</w:t>
      </w:r>
    </w:p>
    <w:p w14:paraId="5DE4FB32" w14:textId="77777777">
      <w:pPr>
        <w:spacing w:after="80" w:line="288" w:lineRule="auto"/>
        <w:ind w:left="420" w:hanging="420"/>
      </w:pPr>
      <w:r>
        <w:rPr>
          <w:sz w:val="21"/>
        </w:rPr>
        <w:t>[6] SPINU F. An algorithm for computing risk parity weights[R]. SSRN Working Paper 2297383, 2013.</w:t>
      </w:r>
    </w:p>
    <w:p w14:paraId="34858E32" w14:textId="77777777">
      <w:pPr>
        <w:spacing w:after="80" w:line="288" w:lineRule="auto"/>
        <w:ind w:left="420" w:hanging="420"/>
      </w:pPr>
      <w:r>
        <w:rPr>
          <w:sz w:val="21"/>
        </w:rPr>
        <w:t>[7] NOCEDAL J, WRIGHT S J. Numerical Optimization[M]. 2nd ed. New York: Springer, 2006.</w:t>
      </w:r>
    </w:p>
    <w:p w14:paraId="02ACF6A0" w14:textId="77777777">
      <w:pPr>
        <w:spacing w:after="80" w:line="288" w:lineRule="auto"/>
        <w:ind w:left="420" w:hanging="420"/>
      </w:pPr>
      <w:r>
        <w:rPr>
          <w:sz w:val="21"/>
        </w:rPr>
        <w:t>[8] RONCALLI T. Introduction to Risk Parity and Budgeting[M]. Boca Raton: CRC Press, 2013.</w:t>
      </w:r>
    </w:p>
    <w:p w14:paraId="407DFF2A" w14:textId="77777777">
      <w:pPr>
        <w:spacing w:after="80" w:line="288" w:lineRule="auto"/>
        <w:ind w:left="420" w:hanging="420"/>
      </w:pPr>
      <w:r>
        <w:rPr>
          <w:sz w:val="21"/>
        </w:rPr>
        <w:t>[9] J.P. MORGAN, REUTERS. RiskMetrics Technical Document[R]. 4th ed. New York: Morgan Guaranty Trust Company, 1996.</w:t>
      </w:r>
    </w:p>
    <w:sectPr>
      <w:footerReference w:type="default" r:id="rId13"/>
      <w:pgSz w:w="11909" w:h="16834"/>
      <w:pgMar w:top="1368" w:right="1368" w:bottom="1253" w:left="1526" w:header="648" w:footer="64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3885FD" w14:textId="77777777">
      <w:pPr>
        <w:spacing w:after="0" w:line="240" w:lineRule="auto"/>
      </w:pPr>
      <w:r>
        <w:separator/>
      </w:r>
    </w:p>
  </w:endnote>
  <w:endnote w:type="continuationSeparator" w:id="0">
    <w:p w14:paraId="748ABF8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11192" w14:textId="77777777">
    <w:pPr>
      <w:pStyle w:val="a7"/>
      <w:ind w:firstLine="0"/>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011C9" w14:textId="77777777">
    <w:pPr>
      <w:pStyle w:val="a7"/>
      <w:ind w:firstLine="0"/>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F28ACA" w14:textId="77777777">
      <w:pPr>
        <w:spacing w:after="0" w:line="240" w:lineRule="auto"/>
      </w:pPr>
      <w:r>
        <w:separator/>
      </w:r>
    </w:p>
  </w:footnote>
  <w:footnote w:type="continuationSeparator" w:id="0">
    <w:p w14:paraId="3E1F7D0F"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34316873">
    <w:abstractNumId w:val="8"/>
  </w:num>
  <w:num w:numId="2" w16cid:durableId="640890807">
    <w:abstractNumId w:val="6"/>
  </w:num>
  <w:num w:numId="3" w16cid:durableId="1165315721">
    <w:abstractNumId w:val="5"/>
  </w:num>
  <w:num w:numId="4" w16cid:durableId="1287010116">
    <w:abstractNumId w:val="4"/>
  </w:num>
  <w:num w:numId="5" w16cid:durableId="336541864">
    <w:abstractNumId w:val="7"/>
  </w:num>
  <w:num w:numId="6" w16cid:durableId="281158322">
    <w:abstractNumId w:val="3"/>
  </w:num>
  <w:num w:numId="7" w16cid:durableId="421799617">
    <w:abstractNumId w:val="2"/>
  </w:num>
  <w:num w:numId="8" w16cid:durableId="1179195551">
    <w:abstractNumId w:val="1"/>
  </w:num>
  <w:num w:numId="9" w16cid:durableId="4507821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15E3"/>
    <w:rsid w:val="0029639D"/>
    <w:rsid w:val="002F2ED0"/>
    <w:rsid w:val="00326F90"/>
    <w:rsid w:val="003D2B25"/>
    <w:rsid w:val="00AA1D8D"/>
    <w:rsid w:val="00B47730"/>
    <w:rsid w:val="00CB0664"/>
    <w:rsid w:val="00F27C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4D30662"/>
  <w14:defaultImageDpi w14:val="300"/>
  <w15:docId w15:val="{26F2F1FF-5E0B-46AE-BB93-0596622E9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24" w:lineRule="auto"/>
      <w:ind w:firstLine="420"/>
    </w:pPr>
    <w:rPr>
      <w:rFonts w:ascii="Times New Roman" w:eastAsia="宋体" w:hAnsi="Times New Roman" w:cs="Times New Roman"/>
    </w:rPr>
  </w:style>
  <w:style w:type="paragraph" w:styleId="1">
    <w:name w:val="heading 1"/>
    <w:basedOn w:val="a1"/>
    <w:next w:val="a1"/>
    <w:link w:val="10"/>
    <w:uiPriority w:val="9"/>
    <w:qFormat/>
    <w:rsid w:val="00FC693F"/>
    <w:pPr>
      <w:keepNext/>
      <w:keepLines/>
      <w:spacing w:before="200"/>
      <w:ind w:firstLine="0"/>
      <w:outlineLvl w:val="0"/>
    </w:pPr>
    <w:rPr>
      <w:rFonts w:asciiTheme="majorHAnsi" w:eastAsiaTheme="majorEastAsia" w:hAnsiTheme="majorHAnsi" w:cstheme="majorBidi"/>
      <w:b/>
      <w:bCs/>
      <w:color w:val="365F91"/>
      <w:sz w:val="30"/>
      <w:szCs w:val="28"/>
    </w:rPr>
  </w:style>
  <w:style w:type="paragraph" w:styleId="21">
    <w:name w:val="heading 2"/>
    <w:basedOn w:val="a1"/>
    <w:next w:val="a1"/>
    <w:link w:val="22"/>
    <w:uiPriority w:val="9"/>
    <w:unhideWhenUsed/>
    <w:qFormat/>
    <w:rsid w:val="00FC693F"/>
    <w:pPr>
      <w:keepNext/>
      <w:keepLines/>
      <w:spacing w:before="120"/>
      <w:ind w:firstLine="0"/>
      <w:outlineLvl w:val="1"/>
    </w:pPr>
    <w:rPr>
      <w:rFonts w:asciiTheme="majorHAnsi" w:eastAsiaTheme="majorEastAsia" w:hAnsiTheme="majorHAnsi" w:cstheme="majorBidi"/>
      <w:b/>
      <w:bCs/>
      <w:color w:val="4F81BD"/>
      <w:sz w:val="24"/>
      <w:szCs w:val="26"/>
    </w:rPr>
  </w:style>
  <w:style w:type="paragraph" w:styleId="31">
    <w:name w:val="heading 3"/>
    <w:basedOn w:val="a1"/>
    <w:next w:val="a1"/>
    <w:link w:val="32"/>
    <w:uiPriority w:val="9"/>
    <w:unhideWhenUsed/>
    <w:qFormat/>
    <w:rsid w:val="00FC693F"/>
    <w:pPr>
      <w:keepNext/>
      <w:keepLines/>
      <w:spacing w:before="80" w:after="80"/>
      <w:ind w:firstLine="0"/>
      <w:outlineLvl w:val="2"/>
    </w:pPr>
    <w:rPr>
      <w:rFonts w:asciiTheme="majorHAnsi" w:eastAsiaTheme="majorEastAsia" w:hAnsiTheme="majorHAnsi" w:cstheme="majorBidi"/>
      <w:b/>
      <w:bCs/>
      <w:color w:val="4F81BD"/>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2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before="80" w:line="276" w:lineRule="auto"/>
      <w:ind w:firstLine="0"/>
    </w:pPr>
    <w:rPr>
      <w:bCs/>
      <w:color w:val="4F81BD" w:themeColor="accent1"/>
      <w:sz w:val="21"/>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keepLines/>
      <w:spacing w:before="80" w:after="120"/>
    </w:pPr>
    <w:rPr>
      <w:rFonts w:ascii="Cambria Math" w:eastAsia="宋体" w:hAnsi="Cambria Math" w:cs="Cambria Math"/>
    </w:rPr>
  </w:style>
  <w:style w:type="paragraph" w:styleId="TOC1">
    <w:name w:val="toc 1"/>
    <w:basedOn w:val="a1"/>
    <w:next w:val="a1"/>
    <w:autoRedefine/>
    <w:uiPriority w:val="39"/>
    <w:unhideWhenUsed/>
    <w:rsid w:val="003D2B25"/>
  </w:style>
  <w:style w:type="character" w:styleId="aff9">
    <w:name w:val="Hyperlink"/>
    <w:basedOn w:val="a2"/>
    <w:uiPriority w:val="99"/>
    <w:unhideWhenUsed/>
    <w:rsid w:val="003D2B2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13</Pages>
  <Words>4193</Words>
  <Characters>5703</Characters>
  <Application>Microsoft Office Word</Application>
  <DocSecurity>0</DocSecurity>
  <Lines>271</Lines>
  <Paragraphs>299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 EWMA 半协方差的风险平价资产配置优化——凸重构、阻尼牛顿法与实证分析</dc:title>
  <dc:subject>最优化理论与算法课程报告</dc:subject>
  <dc:creator/>
  <cp:keywords>风险平价；凸优化；阻尼牛顿法；风险预算；资产配置</cp:keywords>
  <dc:description>由项目数据、模型推导与实验结果可复现生成</dc:description>
  <cp:lastModifiedBy/>
  <cp:revision>2</cp:revision>
  <dcterms:created xsi:type="dcterms:W3CDTF">2026-07-01T00:00:00Z</dcterms:created>
  <dcterms:modified xsi:type="dcterms:W3CDTF">2026-07-15T09:00:00Z</dcterms:modified>
  <cp:category/>
</cp:coreProperties>
</file>