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t xml:space="preserve">舒写｜创作协作规则\n\n1. 所有小说相关产出统一保存在：/root/.openclaw/workspace/shuxie/outputs/docx\n2. 今后在用户给出创意后，Yoko负责输出完整小说框架，至少包括：\n- 书名候选\n- 题材定位\n- 核心卖点\n- 一句话梗概\n- 世界观\n- 人物设定\n- 主线剧情\n- 分卷大纲\n- 章节规划\n- 开篇建议\n\n3. 用户负责人工审阅与手动发布。\n4. 若用户要求写正文，Yoko继续输出对应章节正文。\n5. 默认每次产出都生成一个docx文件保存到本目录。</w:t>
      </w:r>
    </w:p>
    <w:sectPr>
      <w:pgSz w:w="11906" w:h="16838"/>
      <w:pgMar w:top="1440" w:right="1440" w:bottom="1440" w:left="144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OpenClaw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舒写-创作协作规则</dc:title>
  <dc:creator>Yoko</dc:creator>
  <cp:lastModifiedBy>Yoko</cp:lastModifiedBy>
  <dcterms:created xsi:type="dcterms:W3CDTF">2026-03-19T04:05:31Z</dcterms:created>
  <dcterms:modified xsi:type="dcterms:W3CDTF">2026-03-19T04:05:31Z</dcterms:modified>
</cp:coreProperties>
</file>