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680" w:after="200"/>
        <w:jc w:val="left"/>
      </w:pPr>
      <w:r>
        <w:t>Voxfolio Next Implementation Architecture</w:t>
      </w:r>
    </w:p>
    <w:p>
      <w:pPr>
        <w:spacing w:after="480"/>
      </w:pPr>
      <w:r>
        <w:rPr>
          <w:color w:val="374F76"/>
          <w:sz w:val="28"/>
        </w:rPr>
        <w:t>Focused roadmap for the voice directed opportunity portfolio</w:t>
      </w:r>
    </w:p>
    <w:p>
      <w:pPr>
        <w:spacing w:after="240"/>
      </w:pPr>
      <w:r>
        <w:rPr>
          <w:b/>
          <w:sz w:val="23"/>
        </w:rPr>
        <w:t>Implementation scope</w:t>
      </w:r>
      <w:r>
        <w:t xml:space="preserve">  This document defines only the remaining work required to make Voxfolio robust, demonstrable, and ready for controlled release. Completed functionality is intentionally omitted.</w:t>
      </w:r>
    </w:p>
    <w:p>
      <w:pPr>
        <w:spacing w:after="260"/>
      </w:pPr>
      <w:r>
        <w:rPr>
          <w:b/>
          <w:sz w:val="23"/>
        </w:rPr>
        <w:t>Locked product direction</w:t>
      </w:r>
      <w:r>
        <w:t xml:space="preserve">  Voxfolio will convert a user approved professional profile into voice directed, opportunity specific portfolio variants while preserving the canonical portfolio as the source of truth.</w:t>
      </w:r>
    </w:p>
    <w:p>
      <w:pPr>
        <w:pStyle w:val="Heading1"/>
      </w:pPr>
      <w:r>
        <w:t>Final product boundary</w:t>
      </w:r>
    </w:p>
    <w:p>
      <w:pPr>
        <w:pStyle w:val="ListBullet"/>
        <w:spacing w:after="60"/>
      </w:pPr>
      <w:r>
        <w:t>Initial audience: AI native builders, indie makers, and AI augmented developers.</w:t>
      </w:r>
    </w:p>
    <w:p>
      <w:pPr>
        <w:pStyle w:val="ListBullet"/>
        <w:spacing w:after="60"/>
      </w:pPr>
      <w:r>
        <w:t>Flagship capability: create a separate Opportunity Page from the canonical portfolio through voice.</w:t>
      </w:r>
    </w:p>
    <w:p>
      <w:pPr>
        <w:pStyle w:val="ListBullet"/>
        <w:spacing w:after="60"/>
      </w:pPr>
      <w:r>
        <w:t>Integrity rule: no unsupported professional claim may be published.</w:t>
      </w:r>
    </w:p>
    <w:p>
      <w:pPr>
        <w:pStyle w:val="ListBullet"/>
        <w:spacing w:after="60"/>
      </w:pPr>
      <w:r>
        <w:t>Control rule: material changes require a reviewable diff and explicit approval.</w:t>
      </w:r>
    </w:p>
    <w:p>
      <w:pPr>
        <w:pStyle w:val="ListBullet"/>
        <w:spacing w:after="60"/>
      </w:pPr>
      <w:r>
        <w:t>Architecture rule: opportunity variants never silently overwrite the canonical portfolio.</w:t>
      </w:r>
    </w:p>
    <w:p>
      <w:pPr>
        <w:spacing w:before="200"/>
      </w:pPr>
      <w:r>
        <w:rPr>
          <w:b/>
        </w:rPr>
        <w:t xml:space="preserve">Out of scope for this roadmap  </w:t>
      </w:r>
      <w:r>
        <w:t>CRM, generic website building, full Wix competition, agency workspaces, broad industry templates, automated blogging, social media automation, lead management, and unrelated AI employee workflows.</w:t>
      </w:r>
    </w:p>
    <w:p>
      <w:r>
        <w:br w:type="page"/>
      </w:r>
    </w:p>
    <w:p>
      <w:pPr>
        <w:pStyle w:val="Heading1"/>
      </w:pPr>
      <w:r>
        <w:t>Target architecture</w:t>
      </w:r>
    </w:p>
    <w:p>
      <w:r>
        <w:t>The architecture separates trusted professional truth from generated presentation. Voice can direct changes, but it cannot bypass evidence rules, permissions, approval, versioning, or publication controls.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7"/>
        <w:gridCol w:w="7200"/>
      </w:tblGrid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8EEF7"/>
          </w:tcPr>
          <w:p>
            <w:r>
              <w:rPr>
                <w:b/>
                <w:color w:val="1C3458"/>
              </w:rPr>
              <w:t>1  Profile source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Canonical identity, skills, projects, links, evidence references, and user approvals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8EEF7"/>
          </w:tcPr>
          <w:p>
            <w:r>
              <w:rPr>
                <w:b/>
                <w:color w:val="1C3458"/>
              </w:rPr>
              <w:t>2  Voice intent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9FC"/>
          </w:tcPr>
          <w:p>
            <w:r>
              <w:t>Opportunity goal, desired emphasis, visibility changes, ordering, tone, and publication request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8EEF7"/>
          </w:tcPr>
          <w:p>
            <w:r>
              <w:rPr>
                <w:b/>
                <w:color w:val="1C3458"/>
              </w:rPr>
              <w:t>3  Governed plan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Structured commands validated against policy, evidence, permissions, and the selected site variant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8EEF7"/>
          </w:tcPr>
          <w:p>
            <w:r>
              <w:rPr>
                <w:b/>
                <w:color w:val="1C3458"/>
              </w:rPr>
              <w:t>4  Review workspace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9FC"/>
          </w:tcPr>
          <w:p>
            <w:r>
              <w:t>Live Canvas preview, before and after diff, warnings, unsupported claims, and undo options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8EEF7"/>
          </w:tcPr>
          <w:p>
            <w:r>
              <w:rPr>
                <w:b/>
                <w:color w:val="1C3458"/>
              </w:rPr>
              <w:t>5  Published result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A separate opportunity URL with version history, verification record, metadata, and rollback support</w:t>
            </w:r>
          </w:p>
        </w:tc>
      </w:tr>
    </w:tbl>
    <w:p>
      <w:pPr>
        <w:pStyle w:val="Heading2"/>
      </w:pPr>
      <w:r>
        <w:t>Core domain objects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816"/>
        <w:gridCol w:w="3528"/>
      </w:tblGrid>
      <w:tr>
        <w:tc>
          <w:tcPr>
            <w:tcW w:type="dxa" w:w="3312"/>
            <w:shd w:fill="263B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Object</w:t>
            </w:r>
          </w:p>
        </w:tc>
        <w:tc>
          <w:tcPr>
            <w:tcW w:type="dxa" w:w="3312"/>
            <w:shd w:fill="263B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Required responsibility</w:t>
            </w:r>
          </w:p>
        </w:tc>
        <w:tc>
          <w:tcPr>
            <w:tcW w:type="dxa" w:w="3312"/>
            <w:shd w:fill="263B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Critical fields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r>
              <w:rPr>
                <w:b/>
                <w:sz w:val="18"/>
              </w:rPr>
              <w:t>Professional Profile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r>
              <w:rPr>
                <w:sz w:val="18"/>
              </w:rPr>
              <w:t>Approved source of professional truth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r>
              <w:rPr>
                <w:sz w:val="18"/>
              </w:rPr>
              <w:t>ownerId, identity, skills, evidence, approval state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  <w:shd w:fill="F4F6F9"/>
          </w:tcPr>
          <w:p>
            <w:r>
              <w:rPr>
                <w:b/>
                <w:sz w:val="18"/>
              </w:rPr>
              <w:t>Site Document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  <w:shd w:fill="F4F6F9"/>
          </w:tcPr>
          <w:p>
            <w:r>
              <w:rPr>
                <w:sz w:val="18"/>
              </w:rPr>
              <w:t>Canonical portfolio structure and content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  <w:shd w:fill="F4F6F9"/>
          </w:tcPr>
          <w:p>
            <w:r>
              <w:rPr>
                <w:sz w:val="18"/>
              </w:rPr>
              <w:t>id, ownerId, slug, sections, projects, version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r>
              <w:rPr>
                <w:b/>
                <w:sz w:val="18"/>
              </w:rPr>
              <w:t>Opportunity Variant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r>
              <w:rPr>
                <w:sz w:val="18"/>
              </w:rPr>
              <w:t>Isolated derivative for one opportunity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r>
              <w:rPr>
                <w:sz w:val="18"/>
              </w:rPr>
              <w:t>variantOf, purpose, slug, status, baseVersion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  <w:shd w:fill="F4F6F9"/>
          </w:tcPr>
          <w:p>
            <w:r>
              <w:rPr>
                <w:b/>
                <w:sz w:val="18"/>
              </w:rPr>
              <w:t>Evidence Reference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  <w:shd w:fill="F4F6F9"/>
          </w:tcPr>
          <w:p>
            <w:r>
              <w:rPr>
                <w:sz w:val="18"/>
              </w:rPr>
              <w:t>Supports or qualifies a professional claim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  <w:shd w:fill="F4F6F9"/>
          </w:tcPr>
          <w:p>
            <w:r>
              <w:rPr>
                <w:sz w:val="18"/>
              </w:rPr>
              <w:t>sourceType, sourceUrl, status, approvedAt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r>
              <w:rPr>
                <w:b/>
                <w:sz w:val="18"/>
              </w:rPr>
              <w:t>Change Set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r>
              <w:rPr>
                <w:sz w:val="18"/>
              </w:rPr>
              <w:t>Reviewable collection of proposed commands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r>
              <w:rPr>
                <w:sz w:val="18"/>
              </w:rPr>
              <w:t>commands, before, after, warnings, approval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  <w:shd w:fill="F4F6F9"/>
          </w:tcPr>
          <w:p>
            <w:r>
              <w:rPr>
                <w:b/>
                <w:sz w:val="18"/>
              </w:rPr>
              <w:t>Publication Record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  <w:shd w:fill="F4F6F9"/>
          </w:tcPr>
          <w:p>
            <w:r>
              <w:rPr>
                <w:sz w:val="18"/>
              </w:rPr>
              <w:t>Proof of what was published and when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  <w:shd w:fill="F4F6F9"/>
          </w:tcPr>
          <w:p>
            <w:r>
              <w:rPr>
                <w:sz w:val="18"/>
              </w:rPr>
              <w:t>variantId, version, url, checksum, publishedAt</w:t>
            </w:r>
          </w:p>
        </w:tc>
      </w:tr>
    </w:tbl>
    <w:p>
      <w:r>
        <w:br w:type="page"/>
      </w:r>
    </w:p>
    <w:p>
      <w:pPr>
        <w:pStyle w:val="Heading1"/>
      </w:pPr>
      <w:r>
        <w:t>Implementation phases</w:t>
      </w:r>
    </w:p>
    <w:p>
      <w:pPr>
        <w:spacing w:after="220"/>
      </w:pPr>
      <w:r>
        <w:t>The phases are dependency ordered. A later phase must not begin until the preceding exit condition is demonstrably satisfied.</w:t>
      </w:r>
    </w:p>
    <w:p>
      <w:pPr>
        <w:pStyle w:val="Heading2"/>
        <w:keepNext/>
      </w:pPr>
      <w:r>
        <w:t>Phase 0  Repository audit and release freeze</w:t>
      </w:r>
    </w:p>
    <w:p>
      <w:pPr>
        <w:spacing w:after="100"/>
      </w:pPr>
      <w:r>
        <w:rPr>
          <w:b/>
        </w:rPr>
        <w:t xml:space="preserve">Objective  </w:t>
      </w:r>
      <w:r>
        <w:t>Establish the exact current baseline and remove defects that could invalidate later work.</w:t>
      </w:r>
    </w:p>
    <w:p>
      <w:pPr>
        <w:pStyle w:val="ListBullet"/>
        <w:spacing w:after="60"/>
      </w:pPr>
      <w:r>
        <w:t>Audit routes, schemas, persistence, voice tools, governed commands, environment variables, authentication, publication paths, and deployment configuration.</w:t>
      </w:r>
    </w:p>
    <w:p>
      <w:pPr>
        <w:pStyle w:val="ListBullet"/>
        <w:spacing w:after="60"/>
      </w:pPr>
      <w:r>
        <w:t>Rotate exposed or uncertain credentials and remove secrets from logs, fixtures, client bundles, and repository history where necessary.</w:t>
      </w:r>
    </w:p>
    <w:p>
      <w:pPr>
        <w:pStyle w:val="ListBullet"/>
        <w:spacing w:after="60"/>
      </w:pPr>
      <w:r>
        <w:t>Resolve known control flow, stale schema, validation, and rate limiting defects before adding variant behavior.</w:t>
      </w:r>
    </w:p>
    <w:p>
      <w:pPr>
        <w:pStyle w:val="ListBullet"/>
        <w:spacing w:after="60"/>
      </w:pPr>
      <w:r>
        <w:t>Create a release branch and a regression checklist for the canonical portfolio workflow.</w:t>
      </w:r>
    </w:p>
    <w:p>
      <w:pPr>
        <w:spacing w:before="40" w:after="180"/>
      </w:pPr>
      <w:r>
        <w:rPr>
          <w:b/>
        </w:rPr>
        <w:t xml:space="preserve">Exit condition  </w:t>
      </w:r>
      <w:r>
        <w:t>The canonical test portfolio can be modified, previewed, saved, and published through the existing controlled path with no blocking error.</w:t>
      </w:r>
    </w:p>
    <w:p>
      <w:pPr>
        <w:pStyle w:val="Heading2"/>
        <w:keepNext/>
      </w:pPr>
      <w:r>
        <w:t>Phase 1  Opportunity variant foundation</w:t>
      </w:r>
    </w:p>
    <w:p>
      <w:pPr>
        <w:spacing w:after="100"/>
      </w:pPr>
      <w:r>
        <w:rPr>
          <w:b/>
        </w:rPr>
        <w:t xml:space="preserve">Objective  </w:t>
      </w:r>
      <w:r>
        <w:t>Create safe portfolio variants without mutating the canonical site.</w:t>
      </w:r>
    </w:p>
    <w:p>
      <w:pPr>
        <w:pStyle w:val="ListBullet"/>
        <w:spacing w:after="60"/>
      </w:pPr>
      <w:r>
        <w:t>Extend the site model with variantOf, purpose, opportunityLabel, baseVersion, publicationState, createdAt, and updatedAt.</w:t>
      </w:r>
    </w:p>
    <w:p>
      <w:pPr>
        <w:pStyle w:val="ListBullet"/>
        <w:spacing w:after="60"/>
      </w:pPr>
      <w:r>
        <w:t>Implement duplicate as opportunity variant with collision safe slugs and owner scoped authorization.</w:t>
      </w:r>
    </w:p>
    <w:p>
      <w:pPr>
        <w:pStyle w:val="ListBullet"/>
        <w:spacing w:after="60"/>
      </w:pPr>
      <w:r>
        <w:t>Add project.setVisible and ensure project ordering, section visibility, identity emphasis, and introduction edits target the selected variant only.</w:t>
      </w:r>
    </w:p>
    <w:p>
      <w:pPr>
        <w:pStyle w:val="ListBullet"/>
        <w:spacing w:after="60"/>
      </w:pPr>
      <w:r>
        <w:t>Prevent circular variants, cross owner cloning, canonical deletion through a variant action, and variant edits against a stale base without warning.</w:t>
      </w:r>
    </w:p>
    <w:p>
      <w:pPr>
        <w:spacing w:before="40" w:after="180"/>
      </w:pPr>
      <w:r>
        <w:rPr>
          <w:b/>
        </w:rPr>
        <w:t xml:space="preserve">Exit condition  </w:t>
      </w:r>
      <w:r>
        <w:t>A user can create, edit, reopen, and delete an unpublished variant while the canonical portfolio remains byte for byte unchanged.</w:t>
      </w:r>
    </w:p>
    <w:p>
      <w:pPr>
        <w:pStyle w:val="Heading2"/>
        <w:keepNext/>
      </w:pPr>
      <w:r>
        <w:t>Phase 2  Voice intent and governed execution</w:t>
      </w:r>
    </w:p>
    <w:p>
      <w:pPr>
        <w:spacing w:after="100"/>
      </w:pPr>
      <w:r>
        <w:rPr>
          <w:b/>
        </w:rPr>
        <w:t xml:space="preserve">Objective  </w:t>
      </w:r>
      <w:r>
        <w:t>Translate natural voice requests into safe, deterministic portfolio changes.</w:t>
      </w:r>
    </w:p>
    <w:p>
      <w:pPr>
        <w:pStyle w:val="ListBullet"/>
        <w:spacing w:after="60"/>
      </w:pPr>
      <w:r>
        <w:t>Define a structured Opportunity Brief containing the target, desired emphasis, hidden content, reordered content, tone, and publishing intent.</w:t>
      </w:r>
    </w:p>
    <w:p>
      <w:pPr>
        <w:pStyle w:val="ListBullet"/>
        <w:spacing w:after="60"/>
      </w:pPr>
      <w:r>
        <w:t>Map voice intent only to registered governed commands; reject unknown commands and malformed arguments.</w:t>
      </w:r>
    </w:p>
    <w:p>
      <w:pPr>
        <w:pStyle w:val="ListBullet"/>
        <w:spacing w:after="60"/>
      </w:pPr>
      <w:r>
        <w:t>Require the agent to identify the active target as canonical or variant before planning any mutation.</w:t>
      </w:r>
    </w:p>
    <w:p>
      <w:pPr>
        <w:pStyle w:val="ListBullet"/>
        <w:spacing w:after="60"/>
      </w:pPr>
      <w:r>
        <w:t>Return clarification when intent is ambiguous and preserve the voice transcript with the resulting Change Set.</w:t>
      </w:r>
    </w:p>
    <w:p>
      <w:pPr>
        <w:pStyle w:val="ListBullet"/>
        <w:spacing w:after="60"/>
      </w:pPr>
      <w:r>
        <w:t>Support stop, cancel, retry, and idempotency so repeated voice events cannot duplicate a variant or publication.</w:t>
      </w:r>
    </w:p>
    <w:p>
      <w:pPr>
        <w:spacing w:before="40" w:after="180"/>
      </w:pPr>
      <w:r>
        <w:rPr>
          <w:b/>
        </w:rPr>
        <w:t xml:space="preserve">Exit condition  </w:t>
      </w:r>
      <w:r>
        <w:t>The flagship voice request creates the correct structured plan and applies it once to the intended opportunity variant.</w:t>
      </w:r>
    </w:p>
    <w:p>
      <w:pPr>
        <w:pStyle w:val="Heading2"/>
        <w:keepNext/>
      </w:pPr>
      <w:r>
        <w:t>Phase 3  Evidence aware professional memory</w:t>
      </w:r>
    </w:p>
    <w:p>
      <w:pPr>
        <w:spacing w:after="100"/>
      </w:pPr>
      <w:r>
        <w:rPr>
          <w:b/>
        </w:rPr>
        <w:t xml:space="preserve">Objective  </w:t>
      </w:r>
      <w:r>
        <w:t>Keep generated portfolio content faithful to approved professional evidence.</w:t>
      </w:r>
    </w:p>
    <w:p>
      <w:pPr>
        <w:pStyle w:val="ListBullet"/>
        <w:spacing w:after="60"/>
      </w:pPr>
      <w:r>
        <w:t>Add lightweight evidence references for identity, skills, employment, projects, outcomes, links, and credentials.</w:t>
      </w:r>
    </w:p>
    <w:p>
      <w:pPr>
        <w:pStyle w:val="ListBullet"/>
        <w:spacing w:after="60"/>
      </w:pPr>
      <w:r>
        <w:t>Classify claims as verified from source, user provided, inferred pending approval, or unsupported.</w:t>
      </w:r>
    </w:p>
    <w:p>
      <w:pPr>
        <w:pStyle w:val="ListBullet"/>
        <w:spacing w:after="60"/>
      </w:pPr>
      <w:r>
        <w:t>Block unsupported claims from publication and show the exact claim requiring confirmation.</w:t>
      </w:r>
    </w:p>
    <w:p>
      <w:pPr>
        <w:pStyle w:val="ListBullet"/>
        <w:spacing w:after="60"/>
      </w:pPr>
      <w:r>
        <w:t>Separate stable canonical facts from opportunity specific emphasis and generated wording.</w:t>
      </w:r>
    </w:p>
    <w:p>
      <w:pPr>
        <w:pStyle w:val="ListBullet"/>
        <w:spacing w:after="60"/>
      </w:pPr>
      <w:r>
        <w:t>Store only necessary extracted facts and retain source attribution, consent state, and approval timestamps.</w:t>
      </w:r>
    </w:p>
    <w:p>
      <w:pPr>
        <w:spacing w:before="40" w:after="180"/>
      </w:pPr>
      <w:r>
        <w:rPr>
          <w:b/>
        </w:rPr>
        <w:t xml:space="preserve">Exit condition  </w:t>
      </w:r>
      <w:r>
        <w:t>Every material claim in a generated variant is either supported by an evidence reference or explicitly approved as user provided.</w:t>
      </w:r>
    </w:p>
    <w:p>
      <w:r>
        <w:br w:type="page"/>
      </w:r>
    </w:p>
    <w:p>
      <w:pPr>
        <w:pStyle w:val="Heading2"/>
        <w:keepNext/>
      </w:pPr>
      <w:r>
        <w:t>Phase 4  Review approval versioning and rollback</w:t>
      </w:r>
    </w:p>
    <w:p>
      <w:pPr>
        <w:spacing w:after="100"/>
      </w:pPr>
      <w:r>
        <w:rPr>
          <w:b/>
        </w:rPr>
        <w:t xml:space="preserve">Objective  </w:t>
      </w:r>
      <w:r>
        <w:t>Make every material AI change inspectable and reversible.</w:t>
      </w:r>
    </w:p>
    <w:p>
      <w:pPr>
        <w:pStyle w:val="ListBullet"/>
        <w:spacing w:after="60"/>
      </w:pPr>
      <w:r>
        <w:t>Present a before and after diff grouped by hero, identity, projects, skills, sections, and metadata.</w:t>
      </w:r>
    </w:p>
    <w:p>
      <w:pPr>
        <w:pStyle w:val="ListBullet"/>
        <w:spacing w:after="60"/>
      </w:pPr>
      <w:r>
        <w:t>Allow individual commands to be accepted, rejected, edited, or deferred before application.</w:t>
      </w:r>
    </w:p>
    <w:p>
      <w:pPr>
        <w:pStyle w:val="ListBullet"/>
        <w:spacing w:after="60"/>
      </w:pPr>
      <w:r>
        <w:t>Create immutable version checkpoints before approval and before publication.</w:t>
      </w:r>
    </w:p>
    <w:p>
      <w:pPr>
        <w:pStyle w:val="ListBullet"/>
        <w:spacing w:after="60"/>
      </w:pPr>
      <w:r>
        <w:t>Provide undo last change, restore version, unpublish variant, and republish approved version actions.</w:t>
      </w:r>
    </w:p>
    <w:p>
      <w:pPr>
        <w:pStyle w:val="ListBullet"/>
        <w:spacing w:after="60"/>
      </w:pPr>
      <w:r>
        <w:t>Record actor, source request, model or rule version, commands, approval, publication result, and verification result.</w:t>
      </w:r>
    </w:p>
    <w:p>
      <w:pPr>
        <w:spacing w:before="40" w:after="180"/>
      </w:pPr>
      <w:r>
        <w:rPr>
          <w:b/>
        </w:rPr>
        <w:t xml:space="preserve">Exit condition  </w:t>
      </w:r>
      <w:r>
        <w:t>A reviewer can reconstruct what changed, why it changed, who approved it, and restore the previous state without manual database editing.</w:t>
      </w:r>
    </w:p>
    <w:p>
      <w:pPr>
        <w:pStyle w:val="Heading2"/>
        <w:keepNext/>
      </w:pPr>
      <w:r>
        <w:t>Phase 5  Publication SEO and sharing controls</w:t>
      </w:r>
    </w:p>
    <w:p>
      <w:pPr>
        <w:spacing w:after="100"/>
      </w:pPr>
      <w:r>
        <w:rPr>
          <w:b/>
        </w:rPr>
        <w:t xml:space="preserve">Objective  </w:t>
      </w:r>
      <w:r>
        <w:t>Publish opportunity variants correctly without creating search or sharing problems.</w:t>
      </w:r>
    </w:p>
    <w:p>
      <w:pPr>
        <w:pStyle w:val="ListBullet"/>
        <w:spacing w:after="60"/>
      </w:pPr>
      <w:r>
        <w:t>Generate unique slugs, page titles, meta descriptions, Open Graph data, social preview images, and publication records per variant.</w:t>
      </w:r>
    </w:p>
    <w:p>
      <w:pPr>
        <w:pStyle w:val="ListBullet"/>
        <w:spacing w:after="60"/>
      </w:pPr>
      <w:r>
        <w:t>Default private or application specific variants to noindex; allow indexing only through an explicit user choice.</w:t>
      </w:r>
    </w:p>
    <w:p>
      <w:pPr>
        <w:pStyle w:val="ListBullet"/>
        <w:spacing w:after="60"/>
      </w:pPr>
      <w:r>
        <w:t>Include only deliberately public variants in the sitemap and use accurate self canonical URLs for indexable pages.</w:t>
      </w:r>
    </w:p>
    <w:p>
      <w:pPr>
        <w:pStyle w:val="ListBullet"/>
        <w:spacing w:after="60"/>
      </w:pPr>
      <w:r>
        <w:t>Add truthful Person, ProfilePage, WebSite, and appropriate CreativeWork structured data without unsupported achievements or ratings.</w:t>
      </w:r>
    </w:p>
    <w:p>
      <w:pPr>
        <w:pStyle w:val="ListBullet"/>
        <w:spacing w:after="60"/>
      </w:pPr>
      <w:r>
        <w:t>Verify the published URL, rendered content, metadata, and selected version after every deployment.</w:t>
      </w:r>
    </w:p>
    <w:p>
      <w:pPr>
        <w:spacing w:before="40" w:after="180"/>
      </w:pPr>
      <w:r>
        <w:rPr>
          <w:b/>
        </w:rPr>
        <w:t xml:space="preserve">Exit condition  </w:t>
      </w:r>
      <w:r>
        <w:t>The published variant is shareable, technically valid, traceable to its approved version, and correctly excluded from or included in search.</w:t>
      </w:r>
    </w:p>
    <w:p>
      <w:pPr>
        <w:pStyle w:val="Heading2"/>
        <w:keepNext/>
      </w:pPr>
      <w:r>
        <w:t>Phase 6  Experience performance and accessibility hardening</w:t>
      </w:r>
    </w:p>
    <w:p>
      <w:pPr>
        <w:spacing w:after="100"/>
      </w:pPr>
      <w:r>
        <w:rPr>
          <w:b/>
        </w:rPr>
        <w:t xml:space="preserve">Objective  </w:t>
      </w:r>
      <w:r>
        <w:t>Make the cinematic interface usable beyond the ideal desktop demonstration.</w:t>
      </w:r>
    </w:p>
    <w:p>
      <w:pPr>
        <w:pStyle w:val="ListBullet"/>
        <w:spacing w:after="60"/>
      </w:pPr>
      <w:r>
        <w:t>Add a reduced motion mode, static visual fallback, loading fallback, and recovery state for failed 3D assets.</w:t>
      </w:r>
    </w:p>
    <w:p>
      <w:pPr>
        <w:pStyle w:val="ListBullet"/>
        <w:spacing w:after="60"/>
      </w:pPr>
      <w:r>
        <w:t>Lazy load noncritical 3D resources and enforce budgets for initial JavaScript, image weight, interaction delay, and layout stability.</w:t>
      </w:r>
    </w:p>
    <w:p>
      <w:pPr>
        <w:pStyle w:val="ListBullet"/>
        <w:spacing w:after="60"/>
      </w:pPr>
      <w:r>
        <w:t>Test desktop, tablet, and mobile layouts as well as keyboard navigation, focus visibility, contrast, and screen reader labels.</w:t>
      </w:r>
    </w:p>
    <w:p>
      <w:pPr>
        <w:pStyle w:val="ListBullet"/>
        <w:spacing w:after="60"/>
      </w:pPr>
      <w:r>
        <w:t>Keep text input available as an equal alternative to voice and display an editable transcript before consequential actions.</w:t>
      </w:r>
    </w:p>
    <w:p>
      <w:pPr>
        <w:pStyle w:val="ListBullet"/>
        <w:spacing w:after="60"/>
      </w:pPr>
      <w:r>
        <w:t>Prevent visual effects from obscuring identity, evidence, projects, calls to action, or approval controls.</w:t>
      </w:r>
    </w:p>
    <w:p>
      <w:pPr>
        <w:spacing w:before="40" w:after="180"/>
      </w:pPr>
      <w:r>
        <w:rPr>
          <w:b/>
        </w:rPr>
        <w:t xml:space="preserve">Exit condition  </w:t>
      </w:r>
      <w:r>
        <w:t>The complete opportunity workflow remains understandable and operable with voice disabled, motion reduced, and 3D rendering unavailable.</w:t>
      </w:r>
    </w:p>
    <w:p>
      <w:pPr>
        <w:pStyle w:val="Heading2"/>
        <w:keepNext/>
      </w:pPr>
      <w:r>
        <w:t>Phase 7  Verification submission and release readiness</w:t>
      </w:r>
    </w:p>
    <w:p>
      <w:pPr>
        <w:spacing w:after="100"/>
      </w:pPr>
      <w:r>
        <w:rPr>
          <w:b/>
        </w:rPr>
        <w:t xml:space="preserve">Objective  </w:t>
      </w:r>
      <w:r>
        <w:t>Prove the end to end story under realistic conditions.</w:t>
      </w:r>
    </w:p>
    <w:p>
      <w:pPr>
        <w:pStyle w:val="ListBullet"/>
        <w:spacing w:after="60"/>
      </w:pPr>
      <w:r>
        <w:t>Add unit tests for variant isolation, authorization, command validation, evidence states, slug collisions, idempotency, and publication policy.</w:t>
      </w:r>
    </w:p>
    <w:p>
      <w:pPr>
        <w:pStyle w:val="ListBullet"/>
        <w:spacing w:after="60"/>
      </w:pPr>
      <w:r>
        <w:t>Add integration tests for voice request to Change Set, approval to persistence, and publication to post publish verification.</w:t>
      </w:r>
    </w:p>
    <w:p>
      <w:pPr>
        <w:pStyle w:val="ListBullet"/>
        <w:spacing w:after="60"/>
      </w:pPr>
      <w:r>
        <w:t>Run an end to end test using the exact hackathon demo account and opportunity prompt.</w:t>
      </w:r>
    </w:p>
    <w:p>
      <w:pPr>
        <w:pStyle w:val="ListBullet"/>
        <w:spacing w:after="60"/>
      </w:pPr>
      <w:r>
        <w:t>Prepare a failure safe demo recording, concise architecture explanation, privacy summary, setup instructions, and known limitations.</w:t>
      </w:r>
    </w:p>
    <w:p>
      <w:pPr>
        <w:pStyle w:val="ListBullet"/>
        <w:spacing w:after="60"/>
      </w:pPr>
      <w:r>
        <w:t>Freeze features before submission and permit only blocking fixes during the final release window.</w:t>
      </w:r>
    </w:p>
    <w:p>
      <w:pPr>
        <w:spacing w:before="40" w:after="180"/>
      </w:pPr>
      <w:r>
        <w:rPr>
          <w:b/>
        </w:rPr>
        <w:t xml:space="preserve">Exit condition  </w:t>
      </w:r>
      <w:r>
        <w:t>A fresh user can complete the canonical portfolio to opportunity page workflow without developer intervention, and the recorded result matches the live deployed system.</w:t>
      </w:r>
    </w:p>
    <w:p>
      <w:r>
        <w:br w:type="page"/>
      </w:r>
    </w:p>
    <w:p>
      <w:pPr>
        <w:pStyle w:val="Heading1"/>
      </w:pPr>
      <w:r>
        <w:t>Required governed command surface</w:t>
      </w:r>
    </w:p>
    <w:p>
      <w:r>
        <w:t>The voice agent may propose only commands registered in this surface. Command names can follow the existing project conventions, but equivalent behavior must be present.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376"/>
        <w:gridCol w:w="2232"/>
      </w:tblGrid>
      <w:tr>
        <w:tc>
          <w:tcPr>
            <w:tcW w:type="dxa" w:w="2484"/>
            <w:shd w:fill="263B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Command group</w:t>
            </w:r>
          </w:p>
        </w:tc>
        <w:tc>
          <w:tcPr>
            <w:tcW w:type="dxa" w:w="2484"/>
            <w:shd w:fill="263B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Required action</w:t>
            </w:r>
          </w:p>
        </w:tc>
        <w:tc>
          <w:tcPr>
            <w:tcW w:type="dxa" w:w="2484"/>
            <w:shd w:fill="263B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Approval</w:t>
            </w:r>
          </w:p>
        </w:tc>
        <w:tc>
          <w:tcPr>
            <w:tcW w:type="dxa" w:w="2484"/>
            <w:shd w:fill="263B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Verification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</w:rPr>
              <w:t>Variant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create, rename, archive, delete draft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Create and delete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Correct owner and canonical unchanged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r>
              <w:t>set opportunity headline and summary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r>
              <w:t>Material wording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r>
              <w:t>Claims pass evidence policy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set visible, move, update emphasis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Before application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Order and visibility match preview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r>
              <w:t>show, hide, move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r>
              <w:t>Before application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r>
              <w:t>Navigation and layout remain valid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</w:rPr>
              <w:t>Metadata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title, description, OG, index policy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Before publication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Rendered head values match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r>
              <w:rPr>
                <w:b/>
              </w:rPr>
              <w:t>Publication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r>
              <w:t>preview, publish, unpublish, restore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r>
              <w:t>Always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r>
              <w:t>Live URL and version checksum</w:t>
            </w:r>
          </w:p>
        </w:tc>
      </w:tr>
    </w:tbl>
    <w:p>
      <w:pPr>
        <w:pStyle w:val="Heading2"/>
      </w:pPr>
      <w:r>
        <w:t>Non negotiable acceptance scenarios</w:t>
      </w:r>
    </w:p>
    <w:p>
      <w:pPr>
        <w:pStyle w:val="ListNumber"/>
        <w:spacing w:after="80"/>
      </w:pPr>
      <w:r>
        <w:t>Creating an opportunity variant does not change the canonical portfolio.</w:t>
      </w:r>
    </w:p>
    <w:p>
      <w:pPr>
        <w:pStyle w:val="ListNumber"/>
        <w:spacing w:after="80"/>
      </w:pPr>
      <w:r>
        <w:t>Repeating the same voice event does not create a duplicate variant or publication.</w:t>
      </w:r>
    </w:p>
    <w:p>
      <w:pPr>
        <w:pStyle w:val="ListNumber"/>
        <w:spacing w:after="80"/>
      </w:pPr>
      <w:r>
        <w:t>A user cannot open, clone, edit, publish, or restore another user’s site or variant.</w:t>
      </w:r>
    </w:p>
    <w:p>
      <w:pPr>
        <w:pStyle w:val="ListNumber"/>
        <w:spacing w:after="80"/>
      </w:pPr>
      <w:r>
        <w:t>An unsupported achievement or metric is blocked before publication.</w:t>
      </w:r>
    </w:p>
    <w:p>
      <w:pPr>
        <w:pStyle w:val="ListNumber"/>
        <w:spacing w:after="80"/>
      </w:pPr>
      <w:r>
        <w:t>Rejecting one proposed command does not apply it indirectly through another command.</w:t>
      </w:r>
    </w:p>
    <w:p>
      <w:pPr>
        <w:pStyle w:val="ListNumber"/>
        <w:spacing w:after="80"/>
      </w:pPr>
      <w:r>
        <w:t>A stale variant identifies the newer canonical version before applying conflicting changes.</w:t>
      </w:r>
    </w:p>
    <w:p>
      <w:pPr>
        <w:pStyle w:val="ListNumber"/>
        <w:spacing w:after="80"/>
      </w:pPr>
      <w:r>
        <w:t>A failed publication reports failure and does not record the variant as successfully published.</w:t>
      </w:r>
    </w:p>
    <w:p>
      <w:pPr>
        <w:pStyle w:val="ListNumber"/>
        <w:spacing w:after="80"/>
      </w:pPr>
      <w:r>
        <w:t>Rollback restores content, visibility, order, metadata, and publication state consistently.</w:t>
      </w:r>
    </w:p>
    <w:p>
      <w:pPr>
        <w:pStyle w:val="ListNumber"/>
        <w:spacing w:after="80"/>
      </w:pPr>
      <w:r>
        <w:t>The primary workflow works through text when microphone permission is denied.</w:t>
      </w:r>
    </w:p>
    <w:p>
      <w:pPr>
        <w:pStyle w:val="ListNumber"/>
        <w:spacing w:after="80"/>
      </w:pPr>
      <w:r>
        <w:t>The portfolio remains usable with reduced motion and the static scene fallback.</w:t>
      </w:r>
    </w:p>
    <w:p>
      <w:pPr>
        <w:pStyle w:val="Heading1"/>
      </w:pPr>
      <w:r>
        <w:t>Release gate</w:t>
      </w:r>
    </w:p>
    <w:p>
      <w:r>
        <w:rPr>
          <w:b/>
        </w:rPr>
        <w:t xml:space="preserve">Voxfolio is ready for the next competition only when </w:t>
      </w:r>
      <w:r>
        <w:t>one real user can provide approved professional evidence, create an opportunity variant through voice, review the exact changes, publish a separate link, verify the live result, and restore the prior version without developer assistance.</w:t>
      </w:r>
    </w:p>
    <w:p>
      <w:pPr>
        <w:pStyle w:val="Heading1"/>
      </w:pPr>
      <w:r>
        <w:t>Controlled post hackathon extension</w:t>
      </w:r>
    </w:p>
    <w:p>
      <w:r>
        <w:t>After the core release is proven, extend Voxfolio as a Personal Professional Presence Agent rather than merging it with a general AI agency. The first allowed extension is a single evidence to presence workflow:</w:t>
      </w:r>
    </w:p>
    <w:p>
      <w:pPr>
        <w:pStyle w:val="ListBullet"/>
        <w:spacing w:after="60"/>
      </w:pPr>
      <w:r>
        <w:t>Ingest one new approved project source.</w:t>
      </w:r>
    </w:p>
    <w:p>
      <w:pPr>
        <w:pStyle w:val="ListBullet"/>
        <w:spacing w:after="60"/>
      </w:pPr>
      <w:r>
        <w:t>Update professional memory through an evidence review.</w:t>
      </w:r>
    </w:p>
    <w:p>
      <w:pPr>
        <w:pStyle w:val="ListBullet"/>
        <w:spacing w:after="60"/>
      </w:pPr>
      <w:r>
        <w:t>Propose canonical portfolio changes.</w:t>
      </w:r>
    </w:p>
    <w:p>
      <w:pPr>
        <w:pStyle w:val="ListBullet"/>
        <w:spacing w:after="60"/>
      </w:pPr>
      <w:r>
        <w:t>Create an opportunity specific variant.</w:t>
      </w:r>
    </w:p>
    <w:p>
      <w:pPr>
        <w:pStyle w:val="ListBullet"/>
        <w:spacing w:after="60"/>
      </w:pPr>
      <w:r>
        <w:t>Prepare one approved professional announcement.</w:t>
      </w:r>
    </w:p>
    <w:p>
      <w:pPr>
        <w:pStyle w:val="ListBullet"/>
        <w:spacing w:after="60"/>
      </w:pPr>
      <w:r>
        <w:t>Publish and verify only the approved portfolio result.</w:t>
      </w:r>
    </w:p>
    <w:p>
      <w:pPr>
        <w:spacing w:before="160"/>
      </w:pPr>
      <w:r>
        <w:rPr>
          <w:b/>
        </w:rPr>
        <w:t xml:space="preserve">Expansion gate  </w:t>
      </w:r>
      <w:r>
        <w:t>Additional role packs, content automation, social publishing, CRM, or agency workflows require separate user validation and a new architecture decision. They are not automatic continuations of this roadmap.</w:t>
      </w:r>
    </w:p>
    <w:sectPr w:rsidR="00FC693F" w:rsidRPr="0006063C" w:rsidSect="00034616">
      <w:footerReference w:type="default" r:id="rId9"/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96969"/>
        <w:sz w:val="17"/>
      </w:rPr>
      <w:t>Voxfolio Next Implementation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