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How the TCC desk works today</w:t>
      </w:r>
    </w:p>
    <w:p>
      <w:r>
        <w:rPr>
          <w:color w:val="666666"/>
          <w:sz w:val="18"/>
        </w:rPr>
        <w:t>Validus · Investor Services Operations · written by the desk lead for new joiners · October 2026 · synthetic material; AMCs and people are fictional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color="auto" w:fill="F2F6FA"/>
          </w:tcPr>
          <w:p>
            <w:r>
              <w:rPr>
                <w:b/>
                <w:sz w:val="19"/>
              </w:rPr>
              <w:t>What the desk does</w:t>
            </w:r>
          </w:p>
          <w:p>
            <w:r>
              <w:rPr>
                <w:sz w:val="19"/>
              </w:rPr>
              <w:t>Checks purchase, SIP, redemption and bank-change requests that can't go straight through, before they are processed, for 14 AMCs (this pack: Narmada MF and Tungabhadra MF).</w:t>
            </w:r>
          </w:p>
        </w:tc>
        <w:tc>
          <w:tcPr>
            <w:tcW w:type="dxa" w:w="3506"/>
            <w:shd w:val="clear" w:color="auto" w:fill="F2F6FA"/>
          </w:tcPr>
          <w:p>
            <w:r>
              <w:rPr>
                <w:b/>
                <w:sz w:val="19"/>
              </w:rPr>
              <w:t>How much</w:t>
            </w:r>
          </w:p>
          <w:p>
            <w:r>
              <w:rPr>
                <w:sz w:val="19"/>
              </w:rPr>
              <w:t>About 1,800 requests a day (2,600 at month-end). Maker about 11 min, checker about 3 min each. 22% need a second touch.</w:t>
            </w:r>
          </w:p>
        </w:tc>
        <w:tc>
          <w:tcPr>
            <w:tcW w:type="dxa" w:w="3506"/>
            <w:shd w:val="clear" w:color="auto" w:fill="F2F6FA"/>
          </w:tcPr>
          <w:p>
            <w:r>
              <w:rPr>
                <w:b/>
                <w:sz w:val="19"/>
              </w:rPr>
              <w:t>What comes out</w:t>
            </w:r>
          </w:p>
          <w:p>
            <w:r>
              <w:rPr>
                <w:sz w:val="19"/>
              </w:rPr>
              <w:t>One of six outcomes with reason codes, a reply to the sender, a case-log row, and sometimes a referral to the AMC.</w:t>
            </w:r>
          </w:p>
        </w:tc>
        <w:tc>
          <w:tcPr>
            <w:tcW w:type="dxa" w:w="3506"/>
            <w:shd w:val="clear" w:color="auto" w:fill="F2F6FA"/>
          </w:tcPr>
          <w:p>
            <w:r>
              <w:rPr>
                <w:b/>
                <w:sz w:val="19"/>
              </w:rPr>
              <w:t>Who signs</w:t>
            </w:r>
          </w:p>
          <w:p>
            <w:r>
              <w:rPr>
                <w:sz w:val="19"/>
              </w:rPr>
              <w:t>Maker alone for PROCEED / PEND / INVALID_REQUEST. Checker for PROCEED_MODIFIED / REJECT. Operations Manager for holds; the AMC decides on referrals.</w:t>
            </w:r>
          </w:p>
        </w:tc>
      </w:tr>
    </w:tbl>
    <w:p/>
    <w:p>
      <w:pPr>
        <w:pStyle w:val="Heading2"/>
      </w:pPr>
      <w:r>
        <w:t>1. The flow today</w:t>
      </w:r>
    </w:p>
    <w:p>
      <w:r>
        <w:drawing>
          <wp:inline xmlns:a="http://schemas.openxmlformats.org/drawingml/2006/main" xmlns:pic="http://schemas.openxmlformats.org/drawingml/2006/picture">
            <wp:extent cx="9180000" cy="3932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93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A request goes through eight maker steps; each step means opening a screen or the rulebook by hand. Dashed lines show which screen each step uses.</w:t>
      </w:r>
    </w:p>
    <w:p>
      <w:pPr>
        <w:pStyle w:val="Heading2"/>
      </w:pPr>
      <w:r>
        <w:t>2. The six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938"/>
        <w:gridCol w:w="3969"/>
      </w:tblGrid>
      <w:tr>
        <w:tc>
          <w:tcPr>
            <w:tcW w:type="dxa" w:w="2268"/>
            <w:shd w:val="clear" w:color="auto" w:fill="DCE6F0"/>
          </w:tcPr>
          <w:p>
            <w:r>
              <w:rPr>
                <w:b/>
                <w:sz w:val="19"/>
              </w:rPr>
              <w:t>Outcome</w:t>
            </w:r>
          </w:p>
        </w:tc>
        <w:tc>
          <w:tcPr>
            <w:tcW w:type="dxa" w:w="7937"/>
            <w:shd w:val="clear" w:color="auto" w:fill="DCE6F0"/>
          </w:tcPr>
          <w:p>
            <w:r>
              <w:rPr>
                <w:b/>
                <w:sz w:val="19"/>
              </w:rPr>
              <w:t>Used when</w:t>
            </w:r>
          </w:p>
        </w:tc>
        <w:tc>
          <w:tcPr>
            <w:tcW w:type="dxa" w:w="3969"/>
            <w:shd w:val="clear" w:color="auto" w:fill="DCE6F0"/>
          </w:tcPr>
          <w:p>
            <w:r>
              <w:rPr>
                <w:b/>
                <w:sz w:val="19"/>
              </w:rPr>
              <w:t>Who signs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PROCEED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Every check passes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Maker (checker samples 10%)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PROCEED_MODIFIED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Can go ahead with a change the SOP requires (e.g. switched to Direct plan)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Checker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PEND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Waiting for a document, a re-check or a period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Maker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REJECT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Not acceptable under the SOP; money refunded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Checker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HOLD_AND_REFER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Payout held and request referred to the AMC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Operations Manager, then AMC Compliance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INVALID_REQUEST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Folio or investor cannot be identified, or details conflict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Maker</w:t>
            </w:r>
          </w:p>
        </w:tc>
      </w:tr>
    </w:tbl>
    <w:p/>
    <w:p>
      <w:pPr>
        <w:pStyle w:val="Heading2"/>
      </w:pPr>
      <w:r>
        <w:t>3. The five screens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2835"/>
        <w:gridCol w:w="8788"/>
      </w:tblGrid>
      <w:tr>
        <w:tc>
          <w:tcPr>
            <w:tcW w:type="dxa" w:w="2551"/>
            <w:shd w:val="clear" w:color="auto" w:fill="DCE6F0"/>
          </w:tcPr>
          <w:p>
            <w:r>
              <w:rPr>
                <w:b/>
                <w:sz w:val="19"/>
              </w:rPr>
              <w:t>Screen</w:t>
            </w:r>
          </w:p>
        </w:tc>
        <w:tc>
          <w:tcPr>
            <w:tcW w:type="dxa" w:w="2835"/>
            <w:shd w:val="clear" w:color="auto" w:fill="DCE6F0"/>
          </w:tcPr>
          <w:p>
            <w:r>
              <w:rPr>
                <w:b/>
                <w:sz w:val="19"/>
              </w:rPr>
              <w:t>Extract in data/</w:t>
            </w:r>
          </w:p>
        </w:tc>
        <w:tc>
          <w:tcPr>
            <w:tcW w:type="dxa" w:w="8787"/>
            <w:shd w:val="clear" w:color="auto" w:fill="DCE6F0"/>
          </w:tcPr>
          <w:p>
            <w:r>
              <w:rPr>
                <w:b/>
                <w:sz w:val="19"/>
              </w:rPr>
              <w:t>What the maker reads there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Folio master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folio_master.csv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Holders, holding mode, tax status, guardian and minor's DOB, contact changes, flags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Transaction register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transactions.csv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The transaction behind the request (PENDING_TCC) and the folio's history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KRA lookup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kra_kyc_snapshot.csv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KYC status of each PAN (refreshed daily 06:00)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Bank-mandate register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bank_mandates.csv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Registered accounts, their holders, default flag, validation status, bank-change requests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Distributor master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distributor_master.csv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ARN/EUIN validity and status; empanelment with each AMC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Rulebook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policies/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The SOP and any client addendum</w:t>
            </w:r>
          </w:p>
        </w:tc>
      </w:tr>
    </w:tbl>
    <w:p/>
    <w:p>
      <w:r>
        <w:br w:type="page"/>
      </w:r>
    </w:p>
    <w:p>
      <w:pPr>
        <w:pStyle w:val="Heading2"/>
      </w:pPr>
      <w:r>
        <w:t>4. Worked example: one request, start to finish</w:t>
      </w:r>
    </w:p>
    <w:p>
      <w:r>
        <w:t>This request came in last month and is closed. Its records are in data/, so you can follow every step. Nothing was wrong with it, and most requests are like that: the time goes into the lookups, not the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BFBF4"/>
          </w:tcPr>
          <w:p>
            <w:r>
              <w:rPr>
                <w:b/>
              </w:rPr>
              <w:t>INPUT — the email</w:t>
            </w:r>
          </w:p>
          <w:p>
            <w:r>
              <w:rPr>
                <w:sz w:val="19"/>
              </w:rPr>
              <w:t>From: Ramesh Kedia &lt;operations@kediawealth.example&gt;      Sent: Tuesday, 22 September 2026 11:05 AM</w:t>
            </w:r>
          </w:p>
          <w:p>
            <w:r>
              <w:rPr>
                <w:sz w:val="19"/>
              </w:rPr>
              <w:t>To: TCC Desk &lt;tcc.desk@validus-rta.example&gt;      Subject: Additional purchase - Ravi Kumar Bhat - Narmada Large Cap</w:t>
            </w:r>
          </w:p>
          <w:p/>
          <w:p>
            <w:r>
              <w:rPr>
                <w:sz w:val="19"/>
              </w:rPr>
              <w:t>Dear Team, Our client Mr. Ravi Kumar Bhat has invested Rs. 75,000/- in Narmada Large Cap Fund - Regular - Growth, folio no. 4016645093, by NEFT today from his Konkan Mercantile Bank account ending 5475 (UTR VNDYN2609229076583). ARN-145023 / EUIN E289730. Kindly process.  Regards, Ramesh Kedia, Kedia Wealth Partners</w:t>
            </w:r>
          </w:p>
        </w:tc>
      </w:tr>
    </w:tbl>
    <w:p/>
    <w:p>
      <w:r>
        <w:rPr>
          <w:b/>
        </w:rPr>
        <w:t>STEPS — what the maker did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2041"/>
        <w:gridCol w:w="2835"/>
        <w:gridCol w:w="6237"/>
        <w:gridCol w:w="2608"/>
      </w:tblGrid>
      <w:tr>
        <w:tc>
          <w:tcPr>
            <w:tcW w:type="dxa" w:w="454"/>
            <w:shd w:val="clear" w:color="auto" w:fill="DCE6F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041"/>
            <w:shd w:val="clear" w:color="auto" w:fill="DCE6F0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2835"/>
            <w:shd w:val="clear" w:color="auto" w:fill="DCE6F0"/>
          </w:tcPr>
          <w:p>
            <w:r>
              <w:rPr>
                <w:b/>
                <w:sz w:val="18"/>
              </w:rPr>
              <w:t>Looked for</w:t>
            </w:r>
          </w:p>
        </w:tc>
        <w:tc>
          <w:tcPr>
            <w:tcW w:type="dxa" w:w="6236"/>
            <w:shd w:val="clear" w:color="auto" w:fill="DCE6F0"/>
          </w:tcPr>
          <w:p>
            <w:r>
              <w:rPr>
                <w:b/>
                <w:sz w:val="18"/>
              </w:rPr>
              <w:t>Found</w:t>
            </w:r>
          </w:p>
        </w:tc>
        <w:tc>
          <w:tcPr>
            <w:tcW w:type="dxa" w:w="2608"/>
            <w:shd w:val="clear" w:color="auto" w:fill="DCE6F0"/>
          </w:tcPr>
          <w:p>
            <w:r>
              <w:rPr>
                <w:b/>
                <w:sz w:val="18"/>
              </w:rPr>
              <w:t>Step result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The email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What is asked, by whom, which folio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Additional purchase ₹75,000, Regular plan, from the distributor; folio written without the '/'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Request type: additional purchase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Folio master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Folio, first holder, flag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40166450/93, NMF, single holder Ravi Kumar Bhat, PAN YBZPB**44W, flag NONE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Identified by folio + PAN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Transaction register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 transaction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T260900518: ₹75,000, 22-09-2026, NEFT, UTR matches, remitter a/c XXXXXXXX5475, name 'R K BHAT'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Found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KRA lookup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KYC of first holder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YBZPB**44W: code 307, KYC Validated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PASS · SOP 4.2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Bank-mandate register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Does the paying account belong to the first holder?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XXXXXXXX5475 registered, VALIDATED, holders 'RAVI KUMAR BHAT;SHOBHA BHAT' (first holder is a holder; the short name in the bank feed doesn't matter)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PASS · SOP 5.1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Distributor master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ARN/EUIN valid for this AMC?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ARN-145023 ACTIVE to 2028-03-31, empanelled NMF; EUIN E289730 valid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PASS · SOP 7.1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Payout checks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Not a redemption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SOP section 9, Annex 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Outcome and approval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All checks passed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PROCEED, no approval needed</w:t>
            </w:r>
          </w:p>
        </w:tc>
      </w:tr>
    </w:tbl>
    <w:p/>
    <w:p>
      <w:r>
        <w:rPr>
          <w:b/>
        </w:rPr>
        <w:t>OUTPUT — what was recorded and sent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2835"/>
        <w:gridCol w:w="1474"/>
        <w:gridCol w:w="850"/>
        <w:gridCol w:w="2948"/>
        <w:gridCol w:w="1360"/>
        <w:gridCol w:w="1134"/>
        <w:gridCol w:w="1360"/>
        <w:gridCol w:w="850"/>
      </w:tblGrid>
      <w:tr>
        <w:tc>
          <w:tcPr>
            <w:tcW w:type="dxa" w:w="1361"/>
            <w:shd w:val="clear" w:color="auto" w:fill="DCE6F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835"/>
            <w:shd w:val="clear" w:color="auto" w:fill="DCE6F0"/>
          </w:tcPr>
          <w:p>
            <w:r>
              <w:rPr>
                <w:b/>
                <w:sz w:val="18"/>
              </w:rPr>
              <w:t>request</w:t>
            </w:r>
          </w:p>
        </w:tc>
        <w:tc>
          <w:tcPr>
            <w:tcW w:type="dxa" w:w="1474"/>
            <w:shd w:val="clear" w:color="auto" w:fill="DCE6F0"/>
          </w:tcPr>
          <w:p>
            <w:r>
              <w:rPr>
                <w:b/>
                <w:sz w:val="18"/>
              </w:rPr>
              <w:t>folio</w:t>
            </w:r>
          </w:p>
        </w:tc>
        <w:tc>
          <w:tcPr>
            <w:tcW w:type="dxa" w:w="850"/>
            <w:shd w:val="clear" w:color="auto" w:fill="DCE6F0"/>
          </w:tcPr>
          <w:p>
            <w:r>
              <w:rPr>
                <w:b/>
                <w:sz w:val="18"/>
              </w:rPr>
              <w:t>maker</w:t>
            </w:r>
          </w:p>
        </w:tc>
        <w:tc>
          <w:tcPr>
            <w:tcW w:type="dxa" w:w="2948"/>
            <w:shd w:val="clear" w:color="auto" w:fill="DCE6F0"/>
          </w:tcPr>
          <w:p>
            <w:r>
              <w:rPr>
                <w:b/>
                <w:sz w:val="18"/>
              </w:rPr>
              <w:t>checks done</w:t>
            </w:r>
          </w:p>
        </w:tc>
        <w:tc>
          <w:tcPr>
            <w:tcW w:type="dxa" w:w="1361"/>
            <w:shd w:val="clear" w:color="auto" w:fill="DCE6F0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34"/>
            <w:shd w:val="clear" w:color="auto" w:fill="DCE6F0"/>
          </w:tcPr>
          <w:p>
            <w:r>
              <w:rPr>
                <w:b/>
                <w:sz w:val="18"/>
              </w:rPr>
              <w:t>reason code</w:t>
            </w:r>
          </w:p>
        </w:tc>
        <w:tc>
          <w:tcPr>
            <w:tcW w:type="dxa" w:w="1361"/>
            <w:shd w:val="clear" w:color="auto" w:fill="DCE6F0"/>
          </w:tcPr>
          <w:p>
            <w:r>
              <w:rPr>
                <w:b/>
                <w:sz w:val="18"/>
              </w:rPr>
              <w:t>checker</w:t>
            </w:r>
          </w:p>
        </w:tc>
        <w:tc>
          <w:tcPr>
            <w:tcW w:type="dxa" w:w="850"/>
            <w:shd w:val="clear" w:color="auto" w:fill="DCE6F0"/>
          </w:tcPr>
          <w:p>
            <w:r>
              <w:rPr>
                <w:b/>
                <w:sz w:val="18"/>
              </w:rPr>
              <w:t>reply sent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22-09-2026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Kedia Wealth, Rs 75,000 add. purchase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40166450/93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M-07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KYC ok, bank ok (joint a/c), ARN ok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PROCEED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not sampled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4F8FB"/>
          </w:tcPr>
          <w:p>
            <w:r>
              <w:rPr>
                <w:b/>
              </w:rPr>
              <w:t>Reply sent to the distributor</w:t>
            </w:r>
          </w:p>
          <w:p>
            <w:r>
              <w:rPr>
                <w:sz w:val="19"/>
              </w:rPr>
              <w:t>Dear Mr. Kedia, Your client's additional purchase of Rs. 75,000 in Narmada Large Cap Fund - Regular - Growth (folio 40166450/93) has been checked and released for processing at the applicable NAV. A confirmation will be sent to the investor's registered email. Regards, TCC Desk, Validus</w:t>
            </w:r>
          </w:p>
        </w:tc>
      </w:tr>
    </w:tbl>
    <w:p/>
    <w:p>
      <w:r>
        <w:t>Time taken: 12 minutes. About 9 went on opening the five screens and matching records, 2 on the decision and record, and 1 on the reply.</w:t>
      </w:r>
    </w:p>
    <w:p>
      <w:pPr>
        <w:pStyle w:val="Heading2"/>
      </w:pPr>
      <w:r>
        <w:t>5. Where it hurts</w:t>
      </w:r>
    </w:p>
    <w:p>
      <w:pPr>
        <w:pStyle w:val="ListBullet"/>
      </w:pPr>
      <w:r>
        <w:t>Time goes on looking things up, not deciding: five screens and the rulebook for every request.</w:t>
      </w:r>
    </w:p>
    <w:p>
      <w:pPr>
        <w:pStyle w:val="ListBullet"/>
      </w:pPr>
      <w:r>
        <w:t>Rules move. The SOP changed three times in 18 months, and several versions sit in the shared folder. Each AMC can add its own addendum.</w:t>
      </w:r>
    </w:p>
    <w:p>
      <w:pPr>
        <w:pStyle w:val="ListBullet"/>
      </w:pPr>
      <w:r>
        <w:t>Two makers can reach different outcomes on the same request. Replies are written from scratch and vary.</w:t>
      </w:r>
    </w:p>
    <w:p>
      <w:pPr>
        <w:pStyle w:val="ListBullet"/>
      </w:pPr>
      <w:r>
        <w:t>The case log doesn't record which document or version a decision relied on. When an AMC asks 'why?', the answer is rebuilt from emails.</w:t>
      </w:r>
    </w:p>
    <w:p>
      <w:pPr>
        <w:pStyle w:val="ListBullet"/>
      </w:pPr>
      <w:r>
        <w:t>Month-end backlog: same-day SLA missed on 9 of the last 60 business days. Three new AMCs go live next quarter.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4"/>
        <w:gridCol w:w="1701"/>
      </w:tblGrid>
      <w:tr>
        <w:tc>
          <w:tcPr>
            <w:tcW w:type="dxa" w:w="6803"/>
            <w:shd w:val="clear" w:color="auto" w:fill="DCE6F0"/>
          </w:tcPr>
          <w:p>
            <w:r>
              <w:rPr>
                <w:b/>
                <w:sz w:val="19"/>
              </w:rPr>
              <w:t>Request mix (last quarter)</w:t>
            </w:r>
          </w:p>
        </w:tc>
        <w:tc>
          <w:tcPr>
            <w:tcW w:type="dxa" w:w="1701"/>
            <w:shd w:val="clear" w:color="auto" w:fill="DCE6F0"/>
          </w:tcPr>
          <w:p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Payment-source questions on purchases and SIPs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46%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KYC-related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18%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Redemptions and payouts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17%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Distributor codes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9%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Change of bank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6%</w:t>
            </w:r>
          </w:p>
        </w:tc>
      </w:tr>
      <w:tr>
        <w:tc>
          <w:tcPr>
            <w:tcW w:type="dxa" w:w="6803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4%</w:t>
            </w:r>
          </w:p>
        </w:tc>
      </w:tr>
    </w:tbl>
    <w:p/>
    <w:p>
      <w:pPr>
        <w:pStyle w:val="Heading2"/>
      </w:pPr>
      <w:r>
        <w:t>6.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1623"/>
      </w:tblGrid>
      <w:tr>
        <w:tc>
          <w:tcPr>
            <w:tcW w:type="dxa" w:w="2551"/>
            <w:shd w:val="clear" w:color="auto" w:fill="DCE6F0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11622"/>
            <w:shd w:val="clear" w:color="auto" w:fill="DCE6F0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AMC / RTA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Fund house / registrar and transfer agent (Validus) that services its investors and transactions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Folio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An investor's account with one AMC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First holder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First-named holder; payment and KYC rules key off this person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Holding mode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SI single; JO joint; AS anyone or survivor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Guardian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Parent or court-appointed guardian operating a minor's folio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KRA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KYC Registration Agency (CVL, NDML, CAMS, KFin, DOTEX)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Third-party payment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Money paid from an account the first holder does not hold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Bank mandate / COB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Bank account registered on a folio / change-of-bank request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ARN / EUIN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Distributor registration number / employee ID of the distributor's salesperson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Regular / Direct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Plans with / without distributor commission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SIP / NACH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Systematic investment plan / bank auto-debit that collects it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UTR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Bank transfer reference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Pend (abeyance)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Kept waiting for a document, a re-check or a period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Maker / Checker</w:t>
            </w:r>
          </w:p>
        </w:tc>
        <w:tc>
          <w:tcPr>
            <w:tcW w:type="dxa" w:w="11622"/>
          </w:tcPr>
          <w:p>
            <w:r>
              <w:rPr>
                <w:sz w:val="19"/>
              </w:rPr>
              <w:t>Does the work / verifies and approves it</w:t>
            </w:r>
          </w:p>
        </w:tc>
      </w:tr>
    </w:tbl>
    <w:p/>
    <w:sectPr w:rsidR="00FC693F" w:rsidRPr="0006063C" w:rsidSect="00034616">
      <w:pgSz w:w="15840" w:h="12240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TCC desk works today</dc:title>
  <dc:subject/>
  <dc:creator>Validus Investor Services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