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Calibri" w:cs="Calibri" w:eastAsia="Calibri" w:hAnsi="Calibri"/>
          <w:b/>
          <w:bCs/>
          <w:color w:val="C9A227"/>
          <w:spacing w:val="20"/>
          <w:sz w:val="20"/>
          <w:szCs w:val="20"/>
        </w:rPr>
        <w:t xml:space="preserve">RETAIL ANALYTICS DIVISION</w:t>
      </w:r>
    </w:p>
    <w:p>
      <w:pPr>
        <w:pBdr>
          <w:top w:val="single" w:color="C9A227" w:sz="6" w:space="10"/>
        </w:pBdr>
        <w:spacing w:after="300"/>
        <w:jc w:val="center"/>
      </w:pPr>
      <w:r>
        <w:t xml:space="preserve"/>
      </w:r>
    </w:p>
    <w:p>
      <w:pPr>
        <w:spacing w:after="120"/>
        <w:jc w:val="center"/>
      </w:pPr>
      <w:r>
        <w:rPr>
          <w:rFonts w:ascii="Calibri" w:cs="Calibri" w:eastAsia="Calibri" w:hAnsi="Calibri"/>
          <w:b/>
          <w:bCs/>
          <w:color w:val="13263F"/>
          <w:sz w:val="56"/>
          <w:szCs w:val="56"/>
        </w:rPr>
        <w:t xml:space="preserve">Customer Shopping Behavior</w:t>
      </w:r>
    </w:p>
    <w:p>
      <w:pPr>
        <w:spacing w:after="500"/>
        <w:jc w:val="center"/>
      </w:pPr>
      <w:r>
        <w:rPr>
          <w:rFonts w:ascii="Calibri" w:cs="Calibri" w:eastAsia="Calibri" w:hAnsi="Calibri"/>
          <w:color w:val="5B6B7C"/>
          <w:sz w:val="30"/>
          <w:szCs w:val="30"/>
        </w:rPr>
        <w:t xml:space="preserve">An End-to-End Data Analytics Report</w:t>
      </w:r>
    </w:p>
    <w:p>
      <w:pPr>
        <w:spacing w:after="1600"/>
      </w:pPr>
    </w:p>
    <w:p>
      <w:pPr>
        <w:spacing w:after="80"/>
        <w:jc w:val="center"/>
      </w:pPr>
      <w:r>
        <w:rPr>
          <w:rFonts w:ascii="Calibri" w:cs="Calibri" w:eastAsia="Calibri" w:hAnsi="Calibri"/>
          <w:i/>
          <w:iCs/>
          <w:color w:val="5B6B7C"/>
          <w:sz w:val="21"/>
          <w:szCs w:val="21"/>
        </w:rPr>
        <w:t xml:space="preserve">Prepared using Python, MySQL &amp; Power BI</w:t>
      </w:r>
    </w:p>
    <w:p>
      <w:pPr>
        <w:spacing w:after="40"/>
        <w:jc w:val="center"/>
      </w:pPr>
      <w:r>
        <w:rPr>
          <w:rFonts w:ascii="Calibri" w:cs="Calibri" w:eastAsia="Calibri" w:hAnsi="Calibri"/>
          <w:b/>
          <w:bCs/>
          <w:color w:val="2B2F36"/>
          <w:sz w:val="21"/>
          <w:szCs w:val="21"/>
        </w:rPr>
        <w:t xml:space="preserve">Data Analytics Team</w:t>
      </w:r>
    </w:p>
    <w:p>
      <w:pPr>
        <w:jc w:val="center"/>
      </w:pPr>
      <w:r>
        <w:rPr>
          <w:rFonts w:ascii="Calibri" w:cs="Calibri" w:eastAsia="Calibri" w:hAnsi="Calibri"/>
          <w:color w:val="5B6B7C"/>
          <w:sz w:val="21"/>
          <w:szCs w:val="21"/>
        </w:rPr>
        <w:t xml:space="preserve">July 2026</w:t>
      </w:r>
    </w:p>
    <w:p>
      <w:pPr>
        <w:sectPr>
          <w:pgSz w:w="12240" w:h="15840" w:orient="portrait"/>
          <w:pgMar w:top="1440" w:right="1440" w:bottom="1440" w:left="1440" w:header="708" w:footer="708" w:gutter="0"/>
          <w:pgNumType/>
          <w:docGrid w:linePitch="360"/>
        </w:sectPr>
      </w:pPr>
    </w:p>
    <w:p>
      <w:pPr>
        <w:pStyle w:val="Heading1"/>
        <w:spacing w:after="200"/>
      </w:pPr>
      <w:r>
        <w:rPr>
          <w:rFonts w:ascii="Calibri" w:cs="Calibri" w:eastAsia="Calibri" w:hAnsi="Calibri"/>
          <w:b/>
          <w:bCs/>
          <w:color w:val="13263F"/>
          <w:sz w:val="30"/>
          <w:szCs w:val="30"/>
        </w:rPr>
        <w:t xml:space="preserve">Table of Contents</w:t>
      </w:r>
    </w:p>
    <w:p>
      <w:pPr>
        <w:tabs>
          <w:tab w:val="right" w:pos="9026" w:leader="dot"/>
        </w:tabs>
        <w:spacing w:after="150"/>
        <w:ind w:left="0"/>
      </w:pPr>
      <w:r>
        <w:rPr>
          <w:rFonts w:ascii="Calibri" w:cs="Calibri" w:eastAsia="Calibri" w:hAnsi="Calibri"/>
          <w:b/>
          <w:bCs/>
          <w:color w:val="13263F"/>
          <w:sz w:val="22"/>
          <w:szCs w:val="22"/>
        </w:rPr>
        <w:t xml:space="preserve">1. Executive Summary</w:t>
      </w:r>
      <w:r>
        <w:rPr>
          <w:rFonts w:ascii="Calibri" w:cs="Calibri" w:eastAsia="Calibri" w:hAnsi="Calibri"/>
        </w:rPr>
        <w:t xml:space="preserve">	</w:t>
      </w:r>
      <w:r>
        <w:rPr>
          <w:rFonts w:ascii="Calibri" w:cs="Calibri" w:eastAsia="Calibri" w:hAnsi="Calibri"/>
          <w:b/>
          <w:bCs/>
          <w:color w:val="13263F"/>
          <w:sz w:val="22"/>
          <w:szCs w:val="22"/>
        </w:rPr>
        <w:t xml:space="preserve">3</w:t>
      </w:r>
    </w:p>
    <w:p>
      <w:pPr>
        <w:tabs>
          <w:tab w:val="right" w:pos="9026" w:leader="dot"/>
        </w:tabs>
        <w:spacing w:after="150"/>
        <w:ind w:left="0"/>
      </w:pPr>
      <w:r>
        <w:rPr>
          <w:rFonts w:ascii="Calibri" w:cs="Calibri" w:eastAsia="Calibri" w:hAnsi="Calibri"/>
          <w:b/>
          <w:bCs/>
          <w:color w:val="13263F"/>
          <w:sz w:val="22"/>
          <w:szCs w:val="22"/>
        </w:rPr>
        <w:t xml:space="preserve">2. Business Objectives</w:t>
      </w:r>
      <w:r>
        <w:rPr>
          <w:rFonts w:ascii="Calibri" w:cs="Calibri" w:eastAsia="Calibri" w:hAnsi="Calibri"/>
        </w:rPr>
        <w:t xml:space="preserve">	</w:t>
      </w:r>
      <w:r>
        <w:rPr>
          <w:rFonts w:ascii="Calibri" w:cs="Calibri" w:eastAsia="Calibri" w:hAnsi="Calibri"/>
          <w:b/>
          <w:bCs/>
          <w:color w:val="13263F"/>
          <w:sz w:val="22"/>
          <w:szCs w:val="22"/>
        </w:rPr>
        <w:t xml:space="preserve">3</w:t>
      </w:r>
    </w:p>
    <w:p>
      <w:pPr>
        <w:tabs>
          <w:tab w:val="right" w:pos="9026" w:leader="dot"/>
        </w:tabs>
        <w:spacing w:after="150"/>
        <w:ind w:left="0"/>
      </w:pPr>
      <w:r>
        <w:rPr>
          <w:rFonts w:ascii="Calibri" w:cs="Calibri" w:eastAsia="Calibri" w:hAnsi="Calibri"/>
          <w:b/>
          <w:bCs/>
          <w:color w:val="13263F"/>
          <w:sz w:val="22"/>
          <w:szCs w:val="22"/>
        </w:rPr>
        <w:t xml:space="preserve">3. Data &amp; Methodology</w:t>
      </w:r>
      <w:r>
        <w:rPr>
          <w:rFonts w:ascii="Calibri" w:cs="Calibri" w:eastAsia="Calibri" w:hAnsi="Calibri"/>
        </w:rPr>
        <w:t xml:space="preserve">	</w:t>
      </w:r>
      <w:r>
        <w:rPr>
          <w:rFonts w:ascii="Calibri" w:cs="Calibri" w:eastAsia="Calibri" w:hAnsi="Calibri"/>
          <w:b/>
          <w:bCs/>
          <w:color w:val="13263F"/>
          <w:sz w:val="22"/>
          <w:szCs w:val="22"/>
        </w:rPr>
        <w:t xml:space="preserve">4</w:t>
      </w:r>
    </w:p>
    <w:p>
      <w:pPr>
        <w:tabs>
          <w:tab w:val="right" w:pos="9026" w:leader="dot"/>
        </w:tabs>
        <w:spacing w:after="90"/>
        <w:ind w:left="504"/>
      </w:pPr>
      <w:r>
        <w:rPr>
          <w:rFonts w:ascii="Calibri" w:cs="Calibri" w:eastAsia="Calibri" w:hAnsi="Calibri"/>
          <w:b w:val="false"/>
          <w:bCs w:val="false"/>
          <w:color w:val="2B2F36"/>
          <w:sz w:val="20"/>
          <w:szCs w:val="20"/>
        </w:rPr>
        <w:t xml:space="preserve">3.1 Data Source</w:t>
      </w:r>
      <w:r>
        <w:rPr>
          <w:rFonts w:ascii="Calibri" w:cs="Calibri" w:eastAsia="Calibri" w:hAnsi="Calibri"/>
        </w:rPr>
        <w:t xml:space="preserve">	</w:t>
      </w:r>
      <w:r>
        <w:rPr>
          <w:rFonts w:ascii="Calibri" w:cs="Calibri" w:eastAsia="Calibri" w:hAnsi="Calibri"/>
          <w:b w:val="false"/>
          <w:bCs w:val="false"/>
          <w:color w:val="5B6B7C"/>
          <w:sz w:val="20"/>
          <w:szCs w:val="20"/>
        </w:rPr>
        <w:t xml:space="preserve">4</w:t>
      </w:r>
    </w:p>
    <w:p>
      <w:pPr>
        <w:tabs>
          <w:tab w:val="right" w:pos="9026" w:leader="dot"/>
        </w:tabs>
        <w:spacing w:after="90"/>
        <w:ind w:left="504"/>
      </w:pPr>
      <w:r>
        <w:rPr>
          <w:rFonts w:ascii="Calibri" w:cs="Calibri" w:eastAsia="Calibri" w:hAnsi="Calibri"/>
          <w:b w:val="false"/>
          <w:bCs w:val="false"/>
          <w:color w:val="2B2F36"/>
          <w:sz w:val="20"/>
          <w:szCs w:val="20"/>
        </w:rPr>
        <w:t xml:space="preserve">3.2 Analytics Pipeline</w:t>
      </w:r>
      <w:r>
        <w:rPr>
          <w:rFonts w:ascii="Calibri" w:cs="Calibri" w:eastAsia="Calibri" w:hAnsi="Calibri"/>
        </w:rPr>
        <w:t xml:space="preserve">	</w:t>
      </w:r>
      <w:r>
        <w:rPr>
          <w:rFonts w:ascii="Calibri" w:cs="Calibri" w:eastAsia="Calibri" w:hAnsi="Calibri"/>
          <w:b w:val="false"/>
          <w:bCs w:val="false"/>
          <w:color w:val="5B6B7C"/>
          <w:sz w:val="20"/>
          <w:szCs w:val="20"/>
        </w:rPr>
        <w:t xml:space="preserve">4</w:t>
      </w:r>
    </w:p>
    <w:p>
      <w:pPr>
        <w:tabs>
          <w:tab w:val="right" w:pos="9026" w:leader="dot"/>
        </w:tabs>
        <w:spacing w:after="90"/>
        <w:ind w:left="504"/>
      </w:pPr>
      <w:r>
        <w:rPr>
          <w:rFonts w:ascii="Calibri" w:cs="Calibri" w:eastAsia="Calibri" w:hAnsi="Calibri"/>
          <w:b w:val="false"/>
          <w:bCs w:val="false"/>
          <w:color w:val="2B2F36"/>
          <w:sz w:val="20"/>
          <w:szCs w:val="20"/>
        </w:rPr>
        <w:t xml:space="preserve">3.3 Data Cleaning &amp; Preparation</w:t>
      </w:r>
      <w:r>
        <w:rPr>
          <w:rFonts w:ascii="Calibri" w:cs="Calibri" w:eastAsia="Calibri" w:hAnsi="Calibri"/>
        </w:rPr>
        <w:t xml:space="preserve">	</w:t>
      </w:r>
      <w:r>
        <w:rPr>
          <w:rFonts w:ascii="Calibri" w:cs="Calibri" w:eastAsia="Calibri" w:hAnsi="Calibri"/>
          <w:b w:val="false"/>
          <w:bCs w:val="false"/>
          <w:color w:val="5B6B7C"/>
          <w:sz w:val="20"/>
          <w:szCs w:val="20"/>
        </w:rPr>
        <w:t xml:space="preserve">5</w:t>
      </w:r>
    </w:p>
    <w:p>
      <w:pPr>
        <w:tabs>
          <w:tab w:val="right" w:pos="9026" w:leader="dot"/>
        </w:tabs>
        <w:spacing w:after="90"/>
        <w:ind w:left="504"/>
      </w:pPr>
      <w:r>
        <w:rPr>
          <w:rFonts w:ascii="Calibri" w:cs="Calibri" w:eastAsia="Calibri" w:hAnsi="Calibri"/>
          <w:b w:val="false"/>
          <w:bCs w:val="false"/>
          <w:color w:val="2B2F36"/>
          <w:sz w:val="20"/>
          <w:szCs w:val="20"/>
        </w:rPr>
        <w:t xml:space="preserve">3.4 Tools Used</w:t>
      </w:r>
      <w:r>
        <w:rPr>
          <w:rFonts w:ascii="Calibri" w:cs="Calibri" w:eastAsia="Calibri" w:hAnsi="Calibri"/>
        </w:rPr>
        <w:t xml:space="preserve">	</w:t>
      </w:r>
      <w:r>
        <w:rPr>
          <w:rFonts w:ascii="Calibri" w:cs="Calibri" w:eastAsia="Calibri" w:hAnsi="Calibri"/>
          <w:b w:val="false"/>
          <w:bCs w:val="false"/>
          <w:color w:val="5B6B7C"/>
          <w:sz w:val="20"/>
          <w:szCs w:val="20"/>
        </w:rPr>
        <w:t xml:space="preserve">5</w:t>
      </w:r>
    </w:p>
    <w:p>
      <w:pPr>
        <w:tabs>
          <w:tab w:val="right" w:pos="9026" w:leader="dot"/>
        </w:tabs>
        <w:spacing w:after="150"/>
        <w:ind w:left="0"/>
      </w:pPr>
      <w:r>
        <w:rPr>
          <w:rFonts w:ascii="Calibri" w:cs="Calibri" w:eastAsia="Calibri" w:hAnsi="Calibri"/>
          <w:b/>
          <w:bCs/>
          <w:color w:val="13263F"/>
          <w:sz w:val="22"/>
          <w:szCs w:val="22"/>
        </w:rPr>
        <w:t xml:space="preserve">4. Revenue &amp; Demographic Analysis</w:t>
      </w:r>
      <w:r>
        <w:rPr>
          <w:rFonts w:ascii="Calibri" w:cs="Calibri" w:eastAsia="Calibri" w:hAnsi="Calibri"/>
        </w:rPr>
        <w:t xml:space="preserve">	</w:t>
      </w:r>
      <w:r>
        <w:rPr>
          <w:rFonts w:ascii="Calibri" w:cs="Calibri" w:eastAsia="Calibri" w:hAnsi="Calibri"/>
          <w:b/>
          <w:bCs/>
          <w:color w:val="13263F"/>
          <w:sz w:val="22"/>
          <w:szCs w:val="22"/>
        </w:rPr>
        <w:t xml:space="preserve">6</w:t>
      </w:r>
    </w:p>
    <w:p>
      <w:pPr>
        <w:tabs>
          <w:tab w:val="right" w:pos="9026" w:leader="dot"/>
        </w:tabs>
        <w:spacing w:after="90"/>
        <w:ind w:left="504"/>
      </w:pPr>
      <w:r>
        <w:rPr>
          <w:rFonts w:ascii="Calibri" w:cs="Calibri" w:eastAsia="Calibri" w:hAnsi="Calibri"/>
          <w:b w:val="false"/>
          <w:bCs w:val="false"/>
          <w:color w:val="2B2F36"/>
          <w:sz w:val="20"/>
          <w:szCs w:val="20"/>
        </w:rPr>
        <w:t xml:space="preserve">4.1 Revenue by Product Category</w:t>
      </w:r>
      <w:r>
        <w:rPr>
          <w:rFonts w:ascii="Calibri" w:cs="Calibri" w:eastAsia="Calibri" w:hAnsi="Calibri"/>
        </w:rPr>
        <w:t xml:space="preserve">	</w:t>
      </w:r>
      <w:r>
        <w:rPr>
          <w:rFonts w:ascii="Calibri" w:cs="Calibri" w:eastAsia="Calibri" w:hAnsi="Calibri"/>
          <w:b w:val="false"/>
          <w:bCs w:val="false"/>
          <w:color w:val="5B6B7C"/>
          <w:sz w:val="20"/>
          <w:szCs w:val="20"/>
        </w:rPr>
        <w:t xml:space="preserve">6</w:t>
      </w:r>
    </w:p>
    <w:p>
      <w:pPr>
        <w:tabs>
          <w:tab w:val="right" w:pos="9026" w:leader="dot"/>
        </w:tabs>
        <w:spacing w:after="90"/>
        <w:ind w:left="504"/>
      </w:pPr>
      <w:r>
        <w:rPr>
          <w:rFonts w:ascii="Calibri" w:cs="Calibri" w:eastAsia="Calibri" w:hAnsi="Calibri"/>
          <w:b w:val="false"/>
          <w:bCs w:val="false"/>
          <w:color w:val="2B2F36"/>
          <w:sz w:val="20"/>
          <w:szCs w:val="20"/>
        </w:rPr>
        <w:t xml:space="preserve">4.2 Revenue by Gender</w:t>
      </w:r>
      <w:r>
        <w:rPr>
          <w:rFonts w:ascii="Calibri" w:cs="Calibri" w:eastAsia="Calibri" w:hAnsi="Calibri"/>
        </w:rPr>
        <w:t xml:space="preserve">	</w:t>
      </w:r>
      <w:r>
        <w:rPr>
          <w:rFonts w:ascii="Calibri" w:cs="Calibri" w:eastAsia="Calibri" w:hAnsi="Calibri"/>
          <w:b w:val="false"/>
          <w:bCs w:val="false"/>
          <w:color w:val="5B6B7C"/>
          <w:sz w:val="20"/>
          <w:szCs w:val="20"/>
        </w:rPr>
        <w:t xml:space="preserve">6</w:t>
      </w:r>
    </w:p>
    <w:p>
      <w:pPr>
        <w:tabs>
          <w:tab w:val="right" w:pos="9026" w:leader="dot"/>
        </w:tabs>
        <w:spacing w:after="90"/>
        <w:ind w:left="504"/>
      </w:pPr>
      <w:r>
        <w:rPr>
          <w:rFonts w:ascii="Calibri" w:cs="Calibri" w:eastAsia="Calibri" w:hAnsi="Calibri"/>
          <w:b w:val="false"/>
          <w:bCs w:val="false"/>
          <w:color w:val="2B2F36"/>
          <w:sz w:val="20"/>
          <w:szCs w:val="20"/>
        </w:rPr>
        <w:t xml:space="preserve">4.3 Revenue by Age Group</w:t>
      </w:r>
      <w:r>
        <w:rPr>
          <w:rFonts w:ascii="Calibri" w:cs="Calibri" w:eastAsia="Calibri" w:hAnsi="Calibri"/>
        </w:rPr>
        <w:t xml:space="preserve">	</w:t>
      </w:r>
      <w:r>
        <w:rPr>
          <w:rFonts w:ascii="Calibri" w:cs="Calibri" w:eastAsia="Calibri" w:hAnsi="Calibri"/>
          <w:b w:val="false"/>
          <w:bCs w:val="false"/>
          <w:color w:val="5B6B7C"/>
          <w:sz w:val="20"/>
          <w:szCs w:val="20"/>
        </w:rPr>
        <w:t xml:space="preserve">6</w:t>
      </w:r>
    </w:p>
    <w:p>
      <w:pPr>
        <w:tabs>
          <w:tab w:val="right" w:pos="9026" w:leader="dot"/>
        </w:tabs>
        <w:spacing w:after="150"/>
        <w:ind w:left="0"/>
      </w:pPr>
      <w:r>
        <w:rPr>
          <w:rFonts w:ascii="Calibri" w:cs="Calibri" w:eastAsia="Calibri" w:hAnsi="Calibri"/>
          <w:b/>
          <w:bCs/>
          <w:color w:val="13263F"/>
          <w:sz w:val="22"/>
          <w:szCs w:val="22"/>
        </w:rPr>
        <w:t xml:space="preserve">5. Customer Loyalty &amp; Segmentation</w:t>
      </w:r>
      <w:r>
        <w:rPr>
          <w:rFonts w:ascii="Calibri" w:cs="Calibri" w:eastAsia="Calibri" w:hAnsi="Calibri"/>
        </w:rPr>
        <w:t xml:space="preserve">	</w:t>
      </w:r>
      <w:r>
        <w:rPr>
          <w:rFonts w:ascii="Calibri" w:cs="Calibri" w:eastAsia="Calibri" w:hAnsi="Calibri"/>
          <w:b/>
          <w:bCs/>
          <w:color w:val="13263F"/>
          <w:sz w:val="22"/>
          <w:szCs w:val="22"/>
        </w:rPr>
        <w:t xml:space="preserve">8</w:t>
      </w:r>
    </w:p>
    <w:p>
      <w:pPr>
        <w:tabs>
          <w:tab w:val="right" w:pos="9026" w:leader="dot"/>
        </w:tabs>
        <w:spacing w:after="90"/>
        <w:ind w:left="504"/>
      </w:pPr>
      <w:r>
        <w:rPr>
          <w:rFonts w:ascii="Calibri" w:cs="Calibri" w:eastAsia="Calibri" w:hAnsi="Calibri"/>
          <w:b w:val="false"/>
          <w:bCs w:val="false"/>
          <w:color w:val="2B2F36"/>
          <w:sz w:val="20"/>
          <w:szCs w:val="20"/>
        </w:rPr>
        <w:t xml:space="preserve">5.1 Subscribers vs. Non-Subscribers</w:t>
      </w:r>
      <w:r>
        <w:rPr>
          <w:rFonts w:ascii="Calibri" w:cs="Calibri" w:eastAsia="Calibri" w:hAnsi="Calibri"/>
        </w:rPr>
        <w:t xml:space="preserve">	</w:t>
      </w:r>
      <w:r>
        <w:rPr>
          <w:rFonts w:ascii="Calibri" w:cs="Calibri" w:eastAsia="Calibri" w:hAnsi="Calibri"/>
          <w:b w:val="false"/>
          <w:bCs w:val="false"/>
          <w:color w:val="5B6B7C"/>
          <w:sz w:val="20"/>
          <w:szCs w:val="20"/>
        </w:rPr>
        <w:t xml:space="preserve">8</w:t>
      </w:r>
    </w:p>
    <w:p>
      <w:pPr>
        <w:tabs>
          <w:tab w:val="right" w:pos="9026" w:leader="dot"/>
        </w:tabs>
        <w:spacing w:after="90"/>
        <w:ind w:left="504"/>
      </w:pPr>
      <w:r>
        <w:rPr>
          <w:rFonts w:ascii="Calibri" w:cs="Calibri" w:eastAsia="Calibri" w:hAnsi="Calibri"/>
          <w:b w:val="false"/>
          <w:bCs w:val="false"/>
          <w:color w:val="2B2F36"/>
          <w:sz w:val="20"/>
          <w:szCs w:val="20"/>
        </w:rPr>
        <w:t xml:space="preserve">5.2 Repeat Buyers and Subscription Likelihood</w:t>
      </w:r>
      <w:r>
        <w:rPr>
          <w:rFonts w:ascii="Calibri" w:cs="Calibri" w:eastAsia="Calibri" w:hAnsi="Calibri"/>
        </w:rPr>
        <w:t xml:space="preserve">	</w:t>
      </w:r>
      <w:r>
        <w:rPr>
          <w:rFonts w:ascii="Calibri" w:cs="Calibri" w:eastAsia="Calibri" w:hAnsi="Calibri"/>
          <w:b w:val="false"/>
          <w:bCs w:val="false"/>
          <w:color w:val="5B6B7C"/>
          <w:sz w:val="20"/>
          <w:szCs w:val="20"/>
        </w:rPr>
        <w:t xml:space="preserve">8</w:t>
      </w:r>
    </w:p>
    <w:p>
      <w:pPr>
        <w:tabs>
          <w:tab w:val="right" w:pos="9026" w:leader="dot"/>
        </w:tabs>
        <w:spacing w:after="90"/>
        <w:ind w:left="504"/>
      </w:pPr>
      <w:r>
        <w:rPr>
          <w:rFonts w:ascii="Calibri" w:cs="Calibri" w:eastAsia="Calibri" w:hAnsi="Calibri"/>
          <w:b w:val="false"/>
          <w:bCs w:val="false"/>
          <w:color w:val="2B2F36"/>
          <w:sz w:val="20"/>
          <w:szCs w:val="20"/>
        </w:rPr>
        <w:t xml:space="preserve">5.3 Customer Segmentation</w:t>
      </w:r>
      <w:r>
        <w:rPr>
          <w:rFonts w:ascii="Calibri" w:cs="Calibri" w:eastAsia="Calibri" w:hAnsi="Calibri"/>
        </w:rPr>
        <w:t xml:space="preserve">	</w:t>
      </w:r>
      <w:r>
        <w:rPr>
          <w:rFonts w:ascii="Calibri" w:cs="Calibri" w:eastAsia="Calibri" w:hAnsi="Calibri"/>
          <w:b w:val="false"/>
          <w:bCs w:val="false"/>
          <w:color w:val="5B6B7C"/>
          <w:sz w:val="20"/>
          <w:szCs w:val="20"/>
        </w:rPr>
        <w:t xml:space="preserve">9</w:t>
      </w:r>
    </w:p>
    <w:p>
      <w:pPr>
        <w:tabs>
          <w:tab w:val="right" w:pos="9026" w:leader="dot"/>
        </w:tabs>
        <w:spacing w:after="150"/>
        <w:ind w:left="0"/>
      </w:pPr>
      <w:r>
        <w:rPr>
          <w:rFonts w:ascii="Calibri" w:cs="Calibri" w:eastAsia="Calibri" w:hAnsi="Calibri"/>
          <w:b/>
          <w:bCs/>
          <w:color w:val="13263F"/>
          <w:sz w:val="22"/>
          <w:szCs w:val="22"/>
        </w:rPr>
        <w:t xml:space="preserve">6. Product Performance</w:t>
      </w:r>
      <w:r>
        <w:rPr>
          <w:rFonts w:ascii="Calibri" w:cs="Calibri" w:eastAsia="Calibri" w:hAnsi="Calibri"/>
        </w:rPr>
        <w:t xml:space="preserve">	</w:t>
      </w:r>
      <w:r>
        <w:rPr>
          <w:rFonts w:ascii="Calibri" w:cs="Calibri" w:eastAsia="Calibri" w:hAnsi="Calibri"/>
          <w:b/>
          <w:bCs/>
          <w:color w:val="13263F"/>
          <w:sz w:val="22"/>
          <w:szCs w:val="22"/>
        </w:rPr>
        <w:t xml:space="preserve">11</w:t>
      </w:r>
    </w:p>
    <w:p>
      <w:pPr>
        <w:tabs>
          <w:tab w:val="right" w:pos="9026" w:leader="dot"/>
        </w:tabs>
        <w:spacing w:after="90"/>
        <w:ind w:left="504"/>
      </w:pPr>
      <w:r>
        <w:rPr>
          <w:rFonts w:ascii="Calibri" w:cs="Calibri" w:eastAsia="Calibri" w:hAnsi="Calibri"/>
          <w:b w:val="false"/>
          <w:bCs w:val="false"/>
          <w:color w:val="2B2F36"/>
          <w:sz w:val="20"/>
          <w:szCs w:val="20"/>
        </w:rPr>
        <w:t xml:space="preserve">6.1 Highest-Rated Products</w:t>
      </w:r>
      <w:r>
        <w:rPr>
          <w:rFonts w:ascii="Calibri" w:cs="Calibri" w:eastAsia="Calibri" w:hAnsi="Calibri"/>
        </w:rPr>
        <w:t xml:space="preserve">	</w:t>
      </w:r>
      <w:r>
        <w:rPr>
          <w:rFonts w:ascii="Calibri" w:cs="Calibri" w:eastAsia="Calibri" w:hAnsi="Calibri"/>
          <w:b w:val="false"/>
          <w:bCs w:val="false"/>
          <w:color w:val="5B6B7C"/>
          <w:sz w:val="20"/>
          <w:szCs w:val="20"/>
        </w:rPr>
        <w:t xml:space="preserve">11</w:t>
      </w:r>
    </w:p>
    <w:p>
      <w:pPr>
        <w:tabs>
          <w:tab w:val="right" w:pos="9026" w:leader="dot"/>
        </w:tabs>
        <w:spacing w:after="90"/>
        <w:ind w:left="504"/>
      </w:pPr>
      <w:r>
        <w:rPr>
          <w:rFonts w:ascii="Calibri" w:cs="Calibri" w:eastAsia="Calibri" w:hAnsi="Calibri"/>
          <w:b w:val="false"/>
          <w:bCs w:val="false"/>
          <w:color w:val="2B2F36"/>
          <w:sz w:val="20"/>
          <w:szCs w:val="20"/>
        </w:rPr>
        <w:t xml:space="preserve">6.2 Top 3 Products per Category</w:t>
      </w:r>
      <w:r>
        <w:rPr>
          <w:rFonts w:ascii="Calibri" w:cs="Calibri" w:eastAsia="Calibri" w:hAnsi="Calibri"/>
        </w:rPr>
        <w:t xml:space="preserve">	</w:t>
      </w:r>
      <w:r>
        <w:rPr>
          <w:rFonts w:ascii="Calibri" w:cs="Calibri" w:eastAsia="Calibri" w:hAnsi="Calibri"/>
          <w:b w:val="false"/>
          <w:bCs w:val="false"/>
          <w:color w:val="5B6B7C"/>
          <w:sz w:val="20"/>
          <w:szCs w:val="20"/>
        </w:rPr>
        <w:t xml:space="preserve">11</w:t>
      </w:r>
    </w:p>
    <w:p>
      <w:pPr>
        <w:tabs>
          <w:tab w:val="right" w:pos="9026" w:leader="dot"/>
        </w:tabs>
        <w:spacing w:after="90"/>
        <w:ind w:left="504"/>
      </w:pPr>
      <w:r>
        <w:rPr>
          <w:rFonts w:ascii="Calibri" w:cs="Calibri" w:eastAsia="Calibri" w:hAnsi="Calibri"/>
          <w:b w:val="false"/>
          <w:bCs w:val="false"/>
          <w:color w:val="2B2F36"/>
          <w:sz w:val="20"/>
          <w:szCs w:val="20"/>
        </w:rPr>
        <w:t xml:space="preserve">6.3 Discount Penetration by Product</w:t>
      </w:r>
      <w:r>
        <w:rPr>
          <w:rFonts w:ascii="Calibri" w:cs="Calibri" w:eastAsia="Calibri" w:hAnsi="Calibri"/>
        </w:rPr>
        <w:t xml:space="preserve">	</w:t>
      </w:r>
      <w:r>
        <w:rPr>
          <w:rFonts w:ascii="Calibri" w:cs="Calibri" w:eastAsia="Calibri" w:hAnsi="Calibri"/>
          <w:b w:val="false"/>
          <w:bCs w:val="false"/>
          <w:color w:val="5B6B7C"/>
          <w:sz w:val="20"/>
          <w:szCs w:val="20"/>
        </w:rPr>
        <w:t xml:space="preserve">12</w:t>
      </w:r>
    </w:p>
    <w:p>
      <w:pPr>
        <w:tabs>
          <w:tab w:val="right" w:pos="9026" w:leader="dot"/>
        </w:tabs>
        <w:spacing w:after="90"/>
        <w:ind w:left="504"/>
      </w:pPr>
      <w:r>
        <w:rPr>
          <w:rFonts w:ascii="Calibri" w:cs="Calibri" w:eastAsia="Calibri" w:hAnsi="Calibri"/>
          <w:b w:val="false"/>
          <w:bCs w:val="false"/>
          <w:color w:val="2B2F36"/>
          <w:sz w:val="20"/>
          <w:szCs w:val="20"/>
        </w:rPr>
        <w:t xml:space="preserve">6.4 Discount Impact on Spend</w:t>
      </w:r>
      <w:r>
        <w:rPr>
          <w:rFonts w:ascii="Calibri" w:cs="Calibri" w:eastAsia="Calibri" w:hAnsi="Calibri"/>
        </w:rPr>
        <w:t xml:space="preserve">	</w:t>
      </w:r>
      <w:r>
        <w:rPr>
          <w:rFonts w:ascii="Calibri" w:cs="Calibri" w:eastAsia="Calibri" w:hAnsi="Calibri"/>
          <w:b w:val="false"/>
          <w:bCs w:val="false"/>
          <w:color w:val="5B6B7C"/>
          <w:sz w:val="20"/>
          <w:szCs w:val="20"/>
        </w:rPr>
        <w:t xml:space="preserve">12</w:t>
      </w:r>
    </w:p>
    <w:p>
      <w:pPr>
        <w:tabs>
          <w:tab w:val="right" w:pos="9026" w:leader="dot"/>
        </w:tabs>
        <w:spacing w:after="150"/>
        <w:ind w:left="0"/>
      </w:pPr>
      <w:r>
        <w:rPr>
          <w:rFonts w:ascii="Calibri" w:cs="Calibri" w:eastAsia="Calibri" w:hAnsi="Calibri"/>
          <w:b/>
          <w:bCs/>
          <w:color w:val="13263F"/>
          <w:sz w:val="22"/>
          <w:szCs w:val="22"/>
        </w:rPr>
        <w:t xml:space="preserve">7. Operational &amp; Seasonal Patterns</w:t>
      </w:r>
      <w:r>
        <w:rPr>
          <w:rFonts w:ascii="Calibri" w:cs="Calibri" w:eastAsia="Calibri" w:hAnsi="Calibri"/>
        </w:rPr>
        <w:t xml:space="preserve">	</w:t>
      </w:r>
      <w:r>
        <w:rPr>
          <w:rFonts w:ascii="Calibri" w:cs="Calibri" w:eastAsia="Calibri" w:hAnsi="Calibri"/>
          <w:b/>
          <w:bCs/>
          <w:color w:val="13263F"/>
          <w:sz w:val="22"/>
          <w:szCs w:val="22"/>
        </w:rPr>
        <w:t xml:space="preserve">13</w:t>
      </w:r>
    </w:p>
    <w:p>
      <w:pPr>
        <w:tabs>
          <w:tab w:val="right" w:pos="9026" w:leader="dot"/>
        </w:tabs>
        <w:spacing w:after="90"/>
        <w:ind w:left="504"/>
      </w:pPr>
      <w:r>
        <w:rPr>
          <w:rFonts w:ascii="Calibri" w:cs="Calibri" w:eastAsia="Calibri" w:hAnsi="Calibri"/>
          <w:b w:val="false"/>
          <w:bCs w:val="false"/>
          <w:color w:val="2B2F36"/>
          <w:sz w:val="20"/>
          <w:szCs w:val="20"/>
        </w:rPr>
        <w:t xml:space="preserve">7.1 Shipping Method and Order Value</w:t>
      </w:r>
      <w:r>
        <w:rPr>
          <w:rFonts w:ascii="Calibri" w:cs="Calibri" w:eastAsia="Calibri" w:hAnsi="Calibri"/>
        </w:rPr>
        <w:t xml:space="preserve">	</w:t>
      </w:r>
      <w:r>
        <w:rPr>
          <w:rFonts w:ascii="Calibri" w:cs="Calibri" w:eastAsia="Calibri" w:hAnsi="Calibri"/>
          <w:b w:val="false"/>
          <w:bCs w:val="false"/>
          <w:color w:val="5B6B7C"/>
          <w:sz w:val="20"/>
          <w:szCs w:val="20"/>
        </w:rPr>
        <w:t xml:space="preserve">13</w:t>
      </w:r>
    </w:p>
    <w:p>
      <w:pPr>
        <w:tabs>
          <w:tab w:val="right" w:pos="9026" w:leader="dot"/>
        </w:tabs>
        <w:spacing w:after="90"/>
        <w:ind w:left="504"/>
      </w:pPr>
      <w:r>
        <w:rPr>
          <w:rFonts w:ascii="Calibri" w:cs="Calibri" w:eastAsia="Calibri" w:hAnsi="Calibri"/>
          <w:b w:val="false"/>
          <w:bCs w:val="false"/>
          <w:color w:val="2B2F36"/>
          <w:sz w:val="20"/>
          <w:szCs w:val="20"/>
        </w:rPr>
        <w:t xml:space="preserve">7.2 Seasonal Revenue</w:t>
      </w:r>
      <w:r>
        <w:rPr>
          <w:rFonts w:ascii="Calibri" w:cs="Calibri" w:eastAsia="Calibri" w:hAnsi="Calibri"/>
        </w:rPr>
        <w:t xml:space="preserve">	</w:t>
      </w:r>
      <w:r>
        <w:rPr>
          <w:rFonts w:ascii="Calibri" w:cs="Calibri" w:eastAsia="Calibri" w:hAnsi="Calibri"/>
          <w:b w:val="false"/>
          <w:bCs w:val="false"/>
          <w:color w:val="5B6B7C"/>
          <w:sz w:val="20"/>
          <w:szCs w:val="20"/>
        </w:rPr>
        <w:t xml:space="preserve">13</w:t>
      </w:r>
    </w:p>
    <w:p>
      <w:pPr>
        <w:tabs>
          <w:tab w:val="right" w:pos="9026" w:leader="dot"/>
        </w:tabs>
        <w:spacing w:after="90"/>
        <w:ind w:left="504"/>
      </w:pPr>
      <w:r>
        <w:rPr>
          <w:rFonts w:ascii="Calibri" w:cs="Calibri" w:eastAsia="Calibri" w:hAnsi="Calibri"/>
          <w:b w:val="false"/>
          <w:bCs w:val="false"/>
          <w:color w:val="2B2F36"/>
          <w:sz w:val="20"/>
          <w:szCs w:val="20"/>
        </w:rPr>
        <w:t xml:space="preserve">7.3 Geographic &amp; Payment Distribution</w:t>
      </w:r>
      <w:r>
        <w:rPr>
          <w:rFonts w:ascii="Calibri" w:cs="Calibri" w:eastAsia="Calibri" w:hAnsi="Calibri"/>
        </w:rPr>
        <w:t xml:space="preserve">	</w:t>
      </w:r>
      <w:r>
        <w:rPr>
          <w:rFonts w:ascii="Calibri" w:cs="Calibri" w:eastAsia="Calibri" w:hAnsi="Calibri"/>
          <w:b w:val="false"/>
          <w:bCs w:val="false"/>
          <w:color w:val="5B6B7C"/>
          <w:sz w:val="20"/>
          <w:szCs w:val="20"/>
        </w:rPr>
        <w:t xml:space="preserve">13</w:t>
      </w:r>
    </w:p>
    <w:p>
      <w:pPr>
        <w:tabs>
          <w:tab w:val="right" w:pos="9026" w:leader="dot"/>
        </w:tabs>
        <w:spacing w:after="150"/>
        <w:ind w:left="0"/>
      </w:pPr>
      <w:r>
        <w:rPr>
          <w:rFonts w:ascii="Calibri" w:cs="Calibri" w:eastAsia="Calibri" w:hAnsi="Calibri"/>
          <w:b/>
          <w:bCs/>
          <w:color w:val="13263F"/>
          <w:sz w:val="22"/>
          <w:szCs w:val="22"/>
        </w:rPr>
        <w:t xml:space="preserve">8. Power BI Dashboard</w:t>
      </w:r>
      <w:r>
        <w:rPr>
          <w:rFonts w:ascii="Calibri" w:cs="Calibri" w:eastAsia="Calibri" w:hAnsi="Calibri"/>
        </w:rPr>
        <w:t xml:space="preserve">	</w:t>
      </w:r>
      <w:r>
        <w:rPr>
          <w:rFonts w:ascii="Calibri" w:cs="Calibri" w:eastAsia="Calibri" w:hAnsi="Calibri"/>
          <w:b/>
          <w:bCs/>
          <w:color w:val="13263F"/>
          <w:sz w:val="22"/>
          <w:szCs w:val="22"/>
        </w:rPr>
        <w:t xml:space="preserve">14</w:t>
      </w:r>
    </w:p>
    <w:p>
      <w:pPr>
        <w:tabs>
          <w:tab w:val="right" w:pos="9026" w:leader="dot"/>
        </w:tabs>
        <w:spacing w:after="150"/>
        <w:ind w:left="0"/>
      </w:pPr>
      <w:r>
        <w:rPr>
          <w:rFonts w:ascii="Calibri" w:cs="Calibri" w:eastAsia="Calibri" w:hAnsi="Calibri"/>
          <w:b/>
          <w:bCs/>
          <w:color w:val="13263F"/>
          <w:sz w:val="22"/>
          <w:szCs w:val="22"/>
        </w:rPr>
        <w:t xml:space="preserve">9. Recommendations</w:t>
      </w:r>
      <w:r>
        <w:rPr>
          <w:rFonts w:ascii="Calibri" w:cs="Calibri" w:eastAsia="Calibri" w:hAnsi="Calibri"/>
        </w:rPr>
        <w:t xml:space="preserve">	</w:t>
      </w:r>
      <w:r>
        <w:rPr>
          <w:rFonts w:ascii="Calibri" w:cs="Calibri" w:eastAsia="Calibri" w:hAnsi="Calibri"/>
          <w:b/>
          <w:bCs/>
          <w:color w:val="13263F"/>
          <w:sz w:val="22"/>
          <w:szCs w:val="22"/>
        </w:rPr>
        <w:t xml:space="preserve">14</w:t>
      </w:r>
    </w:p>
    <w:p>
      <w:pPr>
        <w:tabs>
          <w:tab w:val="right" w:pos="9026" w:leader="dot"/>
        </w:tabs>
        <w:spacing w:after="150"/>
        <w:ind w:left="0"/>
      </w:pPr>
      <w:r>
        <w:rPr>
          <w:rFonts w:ascii="Calibri" w:cs="Calibri" w:eastAsia="Calibri" w:hAnsi="Calibri"/>
          <w:b/>
          <w:bCs/>
          <w:color w:val="13263F"/>
          <w:sz w:val="22"/>
          <w:szCs w:val="22"/>
        </w:rPr>
        <w:t xml:space="preserve">10. Conclusion</w:t>
      </w:r>
      <w:r>
        <w:rPr>
          <w:rFonts w:ascii="Calibri" w:cs="Calibri" w:eastAsia="Calibri" w:hAnsi="Calibri"/>
        </w:rPr>
        <w:t xml:space="preserve">	</w:t>
      </w:r>
      <w:r>
        <w:rPr>
          <w:rFonts w:ascii="Calibri" w:cs="Calibri" w:eastAsia="Calibri" w:hAnsi="Calibri"/>
          <w:b/>
          <w:bCs/>
          <w:color w:val="13263F"/>
          <w:sz w:val="22"/>
          <w:szCs w:val="22"/>
        </w:rPr>
        <w:t xml:space="preserve">14</w:t>
      </w:r>
    </w:p>
    <w:p>
      <w:pPr>
        <w:tabs>
          <w:tab w:val="right" w:pos="9026" w:leader="dot"/>
        </w:tabs>
        <w:spacing w:after="150"/>
        <w:ind w:left="0"/>
      </w:pPr>
      <w:r>
        <w:rPr>
          <w:rFonts w:ascii="Calibri" w:cs="Calibri" w:eastAsia="Calibri" w:hAnsi="Calibri"/>
          <w:b/>
          <w:bCs/>
          <w:color w:val="13263F"/>
          <w:sz w:val="22"/>
          <w:szCs w:val="22"/>
        </w:rPr>
        <w:t xml:space="preserve">Appendix A — Business Questions Answered</w:t>
      </w:r>
      <w:r>
        <w:rPr>
          <w:rFonts w:ascii="Calibri" w:cs="Calibri" w:eastAsia="Calibri" w:hAnsi="Calibri"/>
        </w:rPr>
        <w:t xml:space="preserve">	</w:t>
      </w:r>
      <w:r>
        <w:rPr>
          <w:rFonts w:ascii="Calibri" w:cs="Calibri" w:eastAsia="Calibri" w:hAnsi="Calibri"/>
          <w:b/>
          <w:bCs/>
          <w:color w:val="13263F"/>
          <w:sz w:val="22"/>
          <w:szCs w:val="22"/>
        </w:rPr>
        <w:t xml:space="preserve">16</w:t>
      </w:r>
    </w:p>
    <w:p>
      <w:pPr>
        <w:tabs>
          <w:tab w:val="right" w:pos="9026" w:leader="dot"/>
        </w:tabs>
        <w:spacing w:after="150"/>
        <w:ind w:left="0"/>
      </w:pPr>
      <w:r>
        <w:rPr>
          <w:rFonts w:ascii="Calibri" w:cs="Calibri" w:eastAsia="Calibri" w:hAnsi="Calibri"/>
          <w:b/>
          <w:bCs/>
          <w:color w:val="13263F"/>
          <w:sz w:val="22"/>
          <w:szCs w:val="22"/>
        </w:rPr>
        <w:t xml:space="preserve">Appendix B — Data Dictionary (Key Fields)</w:t>
      </w:r>
      <w:r>
        <w:rPr>
          <w:rFonts w:ascii="Calibri" w:cs="Calibri" w:eastAsia="Calibri" w:hAnsi="Calibri"/>
        </w:rPr>
        <w:t xml:space="preserve">	</w:t>
      </w:r>
      <w:r>
        <w:rPr>
          <w:rFonts w:ascii="Calibri" w:cs="Calibri" w:eastAsia="Calibri" w:hAnsi="Calibri"/>
          <w:b/>
          <w:bCs/>
          <w:color w:val="13263F"/>
          <w:sz w:val="22"/>
          <w:szCs w:val="22"/>
        </w:rPr>
        <w:t xml:space="preserve">16</w:t>
      </w:r>
    </w:p>
    <w:p>
      <w:pPr>
        <w:tabs>
          <w:tab w:val="right" w:pos="9026" w:leader="dot"/>
        </w:tabs>
        <w:spacing w:after="150"/>
        <w:ind w:left="0"/>
      </w:pPr>
      <w:r>
        <w:rPr>
          <w:rFonts w:ascii="Calibri" w:cs="Calibri" w:eastAsia="Calibri" w:hAnsi="Calibri"/>
          <w:b/>
          <w:bCs/>
          <w:color w:val="13263F"/>
          <w:sz w:val="22"/>
          <w:szCs w:val="22"/>
        </w:rPr>
        <w:t xml:space="preserve">Appendix C — Python Data Cleaning &amp; Feature Engineering</w:t>
      </w:r>
      <w:r>
        <w:rPr>
          <w:rFonts w:ascii="Calibri" w:cs="Calibri" w:eastAsia="Calibri" w:hAnsi="Calibri"/>
        </w:rPr>
        <w:t xml:space="preserve">	</w:t>
      </w:r>
      <w:r>
        <w:rPr>
          <w:rFonts w:ascii="Calibri" w:cs="Calibri" w:eastAsia="Calibri" w:hAnsi="Calibri"/>
          <w:b/>
          <w:bCs/>
          <w:color w:val="13263F"/>
          <w:sz w:val="22"/>
          <w:szCs w:val="22"/>
        </w:rPr>
        <w:t xml:space="preserve">17</w:t>
      </w:r>
    </w:p>
    <w:p>
      <w:pPr>
        <w:tabs>
          <w:tab w:val="right" w:pos="9026" w:leader="dot"/>
        </w:tabs>
        <w:spacing w:after="150"/>
        <w:ind w:left="0"/>
      </w:pPr>
      <w:r>
        <w:rPr>
          <w:rFonts w:ascii="Calibri" w:cs="Calibri" w:eastAsia="Calibri" w:hAnsi="Calibri"/>
          <w:b/>
          <w:bCs/>
          <w:color w:val="13263F"/>
          <w:sz w:val="22"/>
          <w:szCs w:val="22"/>
        </w:rPr>
        <w:t xml:space="preserve">Appendix D — SQL Analysis Queries</w:t>
      </w:r>
      <w:r>
        <w:rPr>
          <w:rFonts w:ascii="Calibri" w:cs="Calibri" w:eastAsia="Calibri" w:hAnsi="Calibri"/>
        </w:rPr>
        <w:t xml:space="preserve">	</w:t>
      </w:r>
      <w:r>
        <w:rPr>
          <w:rFonts w:ascii="Calibri" w:cs="Calibri" w:eastAsia="Calibri" w:hAnsi="Calibri"/>
          <w:b/>
          <w:bCs/>
          <w:color w:val="13263F"/>
          <w:sz w:val="22"/>
          <w:szCs w:val="22"/>
        </w:rPr>
        <w:t xml:space="preserve">19</w:t>
      </w:r>
    </w:p>
    <w:p>
      <w:r>
        <w:br w:type="page"/>
      </w:r>
    </w:p>
    <w:p>
      <w:pPr>
        <w:pStyle w:val="Heading1"/>
        <w:pBdr>
          <w:bottom w:val="single" w:color="C9A227" w:sz="8" w:space="6"/>
        </w:pBdr>
        <w:spacing w:after="200" w:before="400"/>
      </w:pPr>
      <w:r>
        <w:rPr>
          <w:rFonts w:ascii="Calibri" w:cs="Calibri" w:eastAsia="Calibri" w:hAnsi="Calibri"/>
          <w:b/>
          <w:bCs/>
          <w:color w:val="13263F"/>
          <w:sz w:val="30"/>
          <w:szCs w:val="30"/>
        </w:rPr>
        <w:t xml:space="preserve">1. Executive Summary</w:t>
      </w:r>
    </w:p>
    <w:p>
      <w:pPr>
        <w:spacing w:after="160" w:line="276"/>
      </w:pPr>
      <w:r>
        <w:rPr>
          <w:rFonts w:ascii="Calibri" w:cs="Calibri" w:eastAsia="Calibri" w:hAnsi="Calibri"/>
          <w:color w:val="2B2F36"/>
          <w:sz w:val="21"/>
          <w:szCs w:val="21"/>
        </w:rPr>
        <w:t xml:space="preserve">This report presents an end-to-end analysis of customer shopping behavior across a sample of 3,900 transactions, covering demographics, product performance, pricing and promotions, shipping preferences, and customer loyalty. The analysis was built on a three-stage pipeline: data cleaning and feature engineering in Python (pandas), business-question querying in MySQL, and an interactive Power BI dashboard for ongoing monitoring.</w:t>
      </w:r>
    </w:p>
    <w:p>
      <w:pPr>
        <w:spacing w:after="160" w:line="276"/>
      </w:pPr>
      <w:r>
        <w:rPr>
          <w:rFonts w:ascii="Calibri" w:cs="Calibri" w:eastAsia="Calibri" w:hAnsi="Calibri"/>
          <w:color w:val="2B2F36"/>
          <w:sz w:val="21"/>
          <w:szCs w:val="21"/>
        </w:rPr>
        <w:t xml:space="preserve">The dataset represents $233,081 in total revenue across 3,900 customers, an average order value of $59.76, and an average product review rating of 3.75 out of 5. Clothing is the leading category by revenue, male customers drive roughly two-thirds of total spend, and only 27% of customers are enrolled in a subscription program despite subscribers and non-subscribers spending at a near-identical average order value — highlighting subscription growth as the single largest untapped lever in this dataset.</w:t>
      </w: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shd w:fill="EDF1F5" w:color="auto" w:val="clear"/>
            <w:tcMar>
              <w:top w:type="dxa" w:w="180"/>
              <w:left w:type="dxa" w:w="140"/>
              <w:bottom w:type="dxa" w:w="180"/>
              <w:right w:type="dxa" w:w="140"/>
            </w:tcMar>
          </w:tcPr>
          <w:p>
            <w:pPr>
              <w:spacing w:after="60"/>
              <w:jc w:val="center"/>
            </w:pPr>
            <w:r>
              <w:rPr>
                <w:rFonts w:ascii="Calibri" w:cs="Calibri" w:eastAsia="Calibri" w:hAnsi="Calibri"/>
                <w:b/>
                <w:bCs/>
                <w:color w:val="13263F"/>
                <w:sz w:val="30"/>
                <w:szCs w:val="30"/>
              </w:rPr>
              <w:t xml:space="preserve">$233,081</w:t>
            </w:r>
          </w:p>
          <w:p>
            <w:pPr>
              <w:jc w:val="center"/>
            </w:pPr>
            <w:r>
              <w:rPr>
                <w:rFonts w:ascii="Calibri" w:cs="Calibri" w:eastAsia="Calibri" w:hAnsi="Calibri"/>
                <w:b/>
                <w:bCs/>
                <w:color w:val="5B6B7C"/>
                <w:sz w:val="17"/>
                <w:szCs w:val="17"/>
              </w:rPr>
              <w:t xml:space="preserve">TOTAL REVENUE</w:t>
            </w:r>
          </w:p>
        </w:tc>
        <w:tc>
          <w:tcPr>
            <w:tcW w:type="dxa" w:w="2340"/>
            <w:shd w:fill="EDF1F5" w:color="auto" w:val="clear"/>
            <w:tcMar>
              <w:top w:type="dxa" w:w="180"/>
              <w:left w:type="dxa" w:w="140"/>
              <w:bottom w:type="dxa" w:w="180"/>
              <w:right w:type="dxa" w:w="140"/>
            </w:tcMar>
          </w:tcPr>
          <w:p>
            <w:pPr>
              <w:spacing w:after="60"/>
              <w:jc w:val="center"/>
            </w:pPr>
            <w:r>
              <w:rPr>
                <w:rFonts w:ascii="Calibri" w:cs="Calibri" w:eastAsia="Calibri" w:hAnsi="Calibri"/>
                <w:b/>
                <w:bCs/>
                <w:color w:val="13263F"/>
                <w:sz w:val="30"/>
                <w:szCs w:val="30"/>
              </w:rPr>
              <w:t xml:space="preserve">3,900</w:t>
            </w:r>
          </w:p>
          <w:p>
            <w:pPr>
              <w:jc w:val="center"/>
            </w:pPr>
            <w:r>
              <w:rPr>
                <w:rFonts w:ascii="Calibri" w:cs="Calibri" w:eastAsia="Calibri" w:hAnsi="Calibri"/>
                <w:b/>
                <w:bCs/>
                <w:color w:val="5B6B7C"/>
                <w:sz w:val="17"/>
                <w:szCs w:val="17"/>
              </w:rPr>
              <w:t xml:space="preserve">TOTAL CUSTOMERS</w:t>
            </w:r>
          </w:p>
        </w:tc>
        <w:tc>
          <w:tcPr>
            <w:tcW w:type="dxa" w:w="2340"/>
            <w:shd w:fill="EDF1F5" w:color="auto" w:val="clear"/>
            <w:tcMar>
              <w:top w:type="dxa" w:w="180"/>
              <w:left w:type="dxa" w:w="140"/>
              <w:bottom w:type="dxa" w:w="180"/>
              <w:right w:type="dxa" w:w="140"/>
            </w:tcMar>
          </w:tcPr>
          <w:p>
            <w:pPr>
              <w:spacing w:after="60"/>
              <w:jc w:val="center"/>
            </w:pPr>
            <w:r>
              <w:rPr>
                <w:rFonts w:ascii="Calibri" w:cs="Calibri" w:eastAsia="Calibri" w:hAnsi="Calibri"/>
                <w:b/>
                <w:bCs/>
                <w:color w:val="13263F"/>
                <w:sz w:val="30"/>
                <w:szCs w:val="30"/>
              </w:rPr>
              <w:t xml:space="preserve">$59.76</w:t>
            </w:r>
          </w:p>
          <w:p>
            <w:pPr>
              <w:jc w:val="center"/>
            </w:pPr>
            <w:r>
              <w:rPr>
                <w:rFonts w:ascii="Calibri" w:cs="Calibri" w:eastAsia="Calibri" w:hAnsi="Calibri"/>
                <w:b/>
                <w:bCs/>
                <w:color w:val="5B6B7C"/>
                <w:sz w:val="17"/>
                <w:szCs w:val="17"/>
              </w:rPr>
              <w:t xml:space="preserve">AVG. ORDER VALUE</w:t>
            </w:r>
          </w:p>
        </w:tc>
        <w:tc>
          <w:tcPr>
            <w:tcW w:type="dxa" w:w="2340"/>
            <w:shd w:fill="EDF1F5" w:color="auto" w:val="clear"/>
            <w:tcMar>
              <w:top w:type="dxa" w:w="180"/>
              <w:left w:type="dxa" w:w="140"/>
              <w:bottom w:type="dxa" w:w="180"/>
              <w:right w:type="dxa" w:w="140"/>
            </w:tcMar>
          </w:tcPr>
          <w:p>
            <w:pPr>
              <w:spacing w:after="60"/>
              <w:jc w:val="center"/>
            </w:pPr>
            <w:r>
              <w:rPr>
                <w:rFonts w:ascii="Calibri" w:cs="Calibri" w:eastAsia="Calibri" w:hAnsi="Calibri"/>
                <w:b/>
                <w:bCs/>
                <w:color w:val="13263F"/>
                <w:sz w:val="30"/>
                <w:szCs w:val="30"/>
              </w:rPr>
              <w:t xml:space="preserve">3.75 / 5</w:t>
            </w:r>
          </w:p>
          <w:p>
            <w:pPr>
              <w:jc w:val="center"/>
            </w:pPr>
            <w:r>
              <w:rPr>
                <w:rFonts w:ascii="Calibri" w:cs="Calibri" w:eastAsia="Calibri" w:hAnsi="Calibri"/>
                <w:b/>
                <w:bCs/>
                <w:color w:val="5B6B7C"/>
                <w:sz w:val="17"/>
                <w:szCs w:val="17"/>
              </w:rPr>
              <w:t xml:space="preserve">AVG. REVIEW RATING</w:t>
            </w:r>
          </w:p>
        </w:tc>
      </w:tr>
    </w:tbl>
    <w:p>
      <w:pPr>
        <w:spacing w:after="160"/>
      </w:pP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shd w:fill="EDF1F5" w:color="auto" w:val="clear"/>
            <w:tcMar>
              <w:top w:type="dxa" w:w="180"/>
              <w:left w:type="dxa" w:w="140"/>
              <w:bottom w:type="dxa" w:w="180"/>
              <w:right w:type="dxa" w:w="140"/>
            </w:tcMar>
          </w:tcPr>
          <w:p>
            <w:pPr>
              <w:spacing w:after="60"/>
              <w:jc w:val="center"/>
            </w:pPr>
            <w:r>
              <w:rPr>
                <w:rFonts w:ascii="Calibri" w:cs="Calibri" w:eastAsia="Calibri" w:hAnsi="Calibri"/>
                <w:b/>
                <w:bCs/>
                <w:color w:val="13263F"/>
                <w:sz w:val="30"/>
                <w:szCs w:val="30"/>
              </w:rPr>
              <w:t xml:space="preserve">43.0%</w:t>
            </w:r>
          </w:p>
          <w:p>
            <w:pPr>
              <w:jc w:val="center"/>
            </w:pPr>
            <w:r>
              <w:rPr>
                <w:rFonts w:ascii="Calibri" w:cs="Calibri" w:eastAsia="Calibri" w:hAnsi="Calibri"/>
                <w:b/>
                <w:bCs/>
                <w:color w:val="5B6B7C"/>
                <w:sz w:val="17"/>
                <w:szCs w:val="17"/>
              </w:rPr>
              <w:t xml:space="preserve">ORDERS DISCOUNTED</w:t>
            </w:r>
          </w:p>
        </w:tc>
        <w:tc>
          <w:tcPr>
            <w:tcW w:type="dxa" w:w="2340"/>
            <w:shd w:fill="EDF1F5" w:color="auto" w:val="clear"/>
            <w:tcMar>
              <w:top w:type="dxa" w:w="180"/>
              <w:left w:type="dxa" w:w="140"/>
              <w:bottom w:type="dxa" w:w="180"/>
              <w:right w:type="dxa" w:w="140"/>
            </w:tcMar>
          </w:tcPr>
          <w:p>
            <w:pPr>
              <w:spacing w:after="60"/>
              <w:jc w:val="center"/>
            </w:pPr>
            <w:r>
              <w:rPr>
                <w:rFonts w:ascii="Calibri" w:cs="Calibri" w:eastAsia="Calibri" w:hAnsi="Calibri"/>
                <w:b/>
                <w:bCs/>
                <w:color w:val="13263F"/>
                <w:sz w:val="30"/>
                <w:szCs w:val="30"/>
              </w:rPr>
              <w:t xml:space="preserve">27.0%</w:t>
            </w:r>
          </w:p>
          <w:p>
            <w:pPr>
              <w:jc w:val="center"/>
            </w:pPr>
            <w:r>
              <w:rPr>
                <w:rFonts w:ascii="Calibri" w:cs="Calibri" w:eastAsia="Calibri" w:hAnsi="Calibri"/>
                <w:b/>
                <w:bCs/>
                <w:color w:val="5B6B7C"/>
                <w:sz w:val="17"/>
                <w:szCs w:val="17"/>
              </w:rPr>
              <w:t xml:space="preserve">SUBSCRIBER RATE</w:t>
            </w:r>
          </w:p>
        </w:tc>
        <w:tc>
          <w:tcPr>
            <w:tcW w:type="dxa" w:w="2340"/>
            <w:shd w:fill="EDF1F5" w:color="auto" w:val="clear"/>
            <w:tcMar>
              <w:top w:type="dxa" w:w="180"/>
              <w:left w:type="dxa" w:w="140"/>
              <w:bottom w:type="dxa" w:w="180"/>
              <w:right w:type="dxa" w:w="140"/>
            </w:tcMar>
          </w:tcPr>
          <w:p>
            <w:pPr>
              <w:spacing w:after="60"/>
              <w:jc w:val="center"/>
            </w:pPr>
            <w:r>
              <w:rPr>
                <w:rFonts w:ascii="Calibri" w:cs="Calibri" w:eastAsia="Calibri" w:hAnsi="Calibri"/>
                <w:b/>
                <w:bCs/>
                <w:color w:val="13263F"/>
                <w:sz w:val="30"/>
                <w:szCs w:val="30"/>
              </w:rPr>
              <w:t xml:space="preserve">80.0%</w:t>
            </w:r>
          </w:p>
          <w:p>
            <w:pPr>
              <w:jc w:val="center"/>
            </w:pPr>
            <w:r>
              <w:rPr>
                <w:rFonts w:ascii="Calibri" w:cs="Calibri" w:eastAsia="Calibri" w:hAnsi="Calibri"/>
                <w:b/>
                <w:bCs/>
                <w:color w:val="5B6B7C"/>
                <w:sz w:val="17"/>
                <w:szCs w:val="17"/>
              </w:rPr>
              <w:t xml:space="preserve">LOYAL CUSTOMERS*</w:t>
            </w:r>
          </w:p>
        </w:tc>
        <w:tc>
          <w:tcPr>
            <w:tcW w:type="dxa" w:w="2340"/>
            <w:shd w:fill="EDF1F5" w:color="auto" w:val="clear"/>
            <w:tcMar>
              <w:top w:type="dxa" w:w="180"/>
              <w:left w:type="dxa" w:w="140"/>
              <w:bottom w:type="dxa" w:w="180"/>
              <w:right w:type="dxa" w:w="140"/>
            </w:tcMar>
          </w:tcPr>
          <w:p>
            <w:pPr>
              <w:spacing w:after="60"/>
              <w:jc w:val="center"/>
            </w:pPr>
            <w:r>
              <w:rPr>
                <w:rFonts w:ascii="Calibri" w:cs="Calibri" w:eastAsia="Calibri" w:hAnsi="Calibri"/>
                <w:b/>
                <w:bCs/>
                <w:color w:val="13263F"/>
                <w:sz w:val="30"/>
                <w:szCs w:val="30"/>
              </w:rPr>
              <w:t xml:space="preserve">4</w:t>
            </w:r>
          </w:p>
          <w:p>
            <w:pPr>
              <w:jc w:val="center"/>
            </w:pPr>
            <w:r>
              <w:rPr>
                <w:rFonts w:ascii="Calibri" w:cs="Calibri" w:eastAsia="Calibri" w:hAnsi="Calibri"/>
                <w:b/>
                <w:bCs/>
                <w:color w:val="5B6B7C"/>
                <w:sz w:val="17"/>
                <w:szCs w:val="17"/>
              </w:rPr>
              <w:t xml:space="preserve">PRODUCT CATEGORIES</w:t>
            </w:r>
          </w:p>
        </w:tc>
      </w:tr>
    </w:tbl>
    <w:p>
      <w:pPr>
        <w:spacing w:after="100"/>
      </w:pPr>
    </w:p>
    <w:p>
      <w:pPr>
        <w:spacing w:after="160" w:line="276"/>
      </w:pPr>
      <w:r>
        <w:rPr>
          <w:rFonts w:ascii="Calibri" w:cs="Calibri" w:eastAsia="Calibri" w:hAnsi="Calibri"/>
          <w:i/>
          <w:iCs/>
          <w:color w:val="5B6B7C"/>
          <w:sz w:val="18"/>
          <w:szCs w:val="18"/>
        </w:rPr>
        <w:t xml:space="preserve">*Loyal = customers with more than 10 previous purchases. See Section 5.3 for segmentation methodology.</w:t>
      </w:r>
    </w:p>
    <w:p>
      <w:pPr>
        <w:pStyle w:val="Heading1"/>
        <w:pBdr>
          <w:bottom w:val="single" w:color="C9A227" w:sz="8" w:space="6"/>
        </w:pBdr>
        <w:spacing w:after="200" w:before="400"/>
      </w:pPr>
      <w:r>
        <w:rPr>
          <w:rFonts w:ascii="Calibri" w:cs="Calibri" w:eastAsia="Calibri" w:hAnsi="Calibri"/>
          <w:b/>
          <w:bCs/>
          <w:color w:val="13263F"/>
          <w:sz w:val="30"/>
          <w:szCs w:val="30"/>
        </w:rPr>
        <w:t xml:space="preserve">2. Business Objectives</w:t>
      </w:r>
    </w:p>
    <w:p>
      <w:pPr>
        <w:spacing w:after="160" w:line="276"/>
      </w:pPr>
      <w:r>
        <w:rPr>
          <w:rFonts w:ascii="Calibri" w:cs="Calibri" w:eastAsia="Calibri" w:hAnsi="Calibri"/>
          <w:color w:val="2B2F36"/>
          <w:sz w:val="21"/>
          <w:szCs w:val="21"/>
        </w:rPr>
        <w:t xml:space="preserve">The analysis was scoped to answer ten core business questions defined ahead of the investigation, spanning four themes:</w:t>
      </w:r>
    </w:p>
    <w:p>
      <w:pPr>
        <w:pStyle w:val="ListParagraph"/>
        <w:numPr>
          <w:ilvl w:val="0"/>
          <w:numId w:val="2"/>
        </w:numPr>
        <w:spacing w:after="90"/>
      </w:pPr>
      <w:r>
        <w:rPr>
          <w:rFonts w:ascii="Calibri" w:cs="Calibri" w:eastAsia="Calibri" w:hAnsi="Calibri"/>
          <w:color w:val="2B2F36"/>
          <w:sz w:val="21"/>
          <w:szCs w:val="21"/>
        </w:rPr>
        <w:t xml:space="preserve">Revenue drivers — which customers, products, and channels generate the most value.</w:t>
      </w:r>
    </w:p>
    <w:p>
      <w:pPr>
        <w:pStyle w:val="ListParagraph"/>
        <w:numPr>
          <w:ilvl w:val="0"/>
          <w:numId w:val="2"/>
        </w:numPr>
        <w:spacing w:after="90"/>
      </w:pPr>
      <w:r>
        <w:rPr>
          <w:rFonts w:ascii="Calibri" w:cs="Calibri" w:eastAsia="Calibri" w:hAnsi="Calibri"/>
          <w:color w:val="2B2F36"/>
          <w:sz w:val="21"/>
          <w:szCs w:val="21"/>
        </w:rPr>
        <w:t xml:space="preserve">Pricing &amp; promotions — how discounting behavior relates to spend and which products rely on it most.</w:t>
      </w:r>
    </w:p>
    <w:p>
      <w:pPr>
        <w:pStyle w:val="ListParagraph"/>
        <w:numPr>
          <w:ilvl w:val="0"/>
          <w:numId w:val="2"/>
        </w:numPr>
        <w:spacing w:after="90"/>
      </w:pPr>
      <w:r>
        <w:rPr>
          <w:rFonts w:ascii="Calibri" w:cs="Calibri" w:eastAsia="Calibri" w:hAnsi="Calibri"/>
          <w:color w:val="2B2F36"/>
          <w:sz w:val="21"/>
          <w:szCs w:val="21"/>
        </w:rPr>
        <w:t xml:space="preserve">Customer loyalty — how repeat purchase behavior relates to subscription enrollment, and how to segment the base.</w:t>
      </w:r>
    </w:p>
    <w:p>
      <w:pPr>
        <w:pStyle w:val="ListParagraph"/>
        <w:numPr>
          <w:ilvl w:val="0"/>
          <w:numId w:val="2"/>
        </w:numPr>
        <w:spacing w:after="90"/>
      </w:pPr>
      <w:r>
        <w:rPr>
          <w:rFonts w:ascii="Calibri" w:cs="Calibri" w:eastAsia="Calibri" w:hAnsi="Calibri"/>
          <w:color w:val="2B2F36"/>
          <w:sz w:val="21"/>
          <w:szCs w:val="21"/>
        </w:rPr>
        <w:t xml:space="preserve">Operational preferences — shipping method economics and seasonal / demographic demand patterns.</w:t>
      </w:r>
    </w:p>
    <w:p>
      <w:pPr>
        <w:spacing w:after="160" w:line="276"/>
      </w:pPr>
      <w:r>
        <w:rPr>
          <w:rFonts w:ascii="Calibri" w:cs="Calibri" w:eastAsia="Calibri" w:hAnsi="Calibri"/>
          <w:color w:val="2B2F36"/>
          <w:sz w:val="21"/>
          <w:szCs w:val="21"/>
        </w:rPr>
        <w:t xml:space="preserve">These questions directly inform decisions on marketing spend allocation, subscription program design, inventory planning by category, and discount strategy.</w:t>
      </w:r>
    </w:p>
    <w:p>
      <w:pPr>
        <w:pStyle w:val="Heading1"/>
        <w:pBdr>
          <w:bottom w:val="single" w:color="C9A227" w:sz="8" w:space="6"/>
        </w:pBdr>
        <w:spacing w:after="200" w:before="400"/>
      </w:pPr>
      <w:r>
        <w:rPr>
          <w:rFonts w:ascii="Calibri" w:cs="Calibri" w:eastAsia="Calibri" w:hAnsi="Calibri"/>
          <w:b/>
          <w:bCs/>
          <w:color w:val="13263F"/>
          <w:sz w:val="30"/>
          <w:szCs w:val="30"/>
        </w:rPr>
        <w:t xml:space="preserve">3. Data &amp; Methodology</w:t>
      </w:r>
    </w:p>
    <w:p>
      <w:pPr>
        <w:pStyle w:val="Heading2"/>
        <w:spacing w:after="140" w:before="300"/>
      </w:pPr>
      <w:r>
        <w:rPr>
          <w:rFonts w:ascii="Calibri" w:cs="Calibri" w:eastAsia="Calibri" w:hAnsi="Calibri"/>
          <w:b/>
          <w:bCs/>
          <w:color w:val="1F3A5F"/>
          <w:sz w:val="24"/>
          <w:szCs w:val="24"/>
        </w:rPr>
        <w:t xml:space="preserve">3.1 Data Source</w:t>
      </w:r>
    </w:p>
    <w:p>
      <w:pPr>
        <w:spacing w:after="160" w:line="276"/>
      </w:pPr>
      <w:r>
        <w:rPr>
          <w:rFonts w:ascii="Calibri" w:cs="Calibri" w:eastAsia="Calibri" w:hAnsi="Calibri"/>
          <w:color w:val="2B2F36"/>
          <w:sz w:val="21"/>
          <w:szCs w:val="21"/>
        </w:rPr>
        <w:t xml:space="preserve">The source dataset (customer_shopping_behavior.csv) contains 3,900 rows and 18 columns, with one row per transaction. Fields include customer demographics (age, gender, location), product attributes (item, category, size, color, season), transaction detail (purchase amount, discount applied, promo code used, payment method, shipping type), and behavioral history (previous purchases, purchase frequency, subscription status, review rating).</w:t>
      </w:r>
    </w:p>
    <w:p>
      <w:pPr>
        <w:pStyle w:val="Heading2"/>
        <w:spacing w:after="140" w:before="300"/>
      </w:pPr>
      <w:r>
        <w:rPr>
          <w:rFonts w:ascii="Calibri" w:cs="Calibri" w:eastAsia="Calibri" w:hAnsi="Calibri"/>
          <w:b/>
          <w:bCs/>
          <w:color w:val="1F3A5F"/>
          <w:sz w:val="24"/>
          <w:szCs w:val="24"/>
        </w:rPr>
        <w:t xml:space="preserve">3.2 Analytics Pipeline</w:t>
      </w:r>
    </w:p>
    <w:p>
      <w:pPr>
        <w:spacing w:after="160" w:line="276"/>
      </w:pPr>
      <w:r>
        <w:rPr>
          <w:rFonts w:ascii="Calibri" w:cs="Calibri" w:eastAsia="Calibri" w:hAnsi="Calibri"/>
          <w:color w:val="2B2F36"/>
          <w:sz w:val="21"/>
          <w:szCs w:val="21"/>
        </w:rPr>
        <w:t xml:space="preserve">A three-stage pipeline was used, mirroring a typical production analytics workflow:</w:t>
      </w:r>
    </w:p>
    <w:p>
      <w:pPr>
        <w:pStyle w:val="ListParagraph"/>
        <w:numPr>
          <w:ilvl w:val="0"/>
          <w:numId w:val="2"/>
        </w:numPr>
        <w:spacing w:after="90"/>
      </w:pPr>
      <w:r>
        <w:rPr>
          <w:rFonts w:ascii="Calibri" w:cs="Calibri" w:eastAsia="Calibri" w:hAnsi="Calibri"/>
          <w:color w:val="2B2F36"/>
          <w:sz w:val="21"/>
          <w:szCs w:val="21"/>
        </w:rPr>
        <w:t xml:space="preserve">Python / pandas — data profiling, null handling, column standardization, feature engineering, and load into MySQL via SQLAlchemy.</w:t>
      </w:r>
    </w:p>
    <w:p>
      <w:pPr>
        <w:pStyle w:val="ListParagraph"/>
        <w:numPr>
          <w:ilvl w:val="0"/>
          <w:numId w:val="2"/>
        </w:numPr>
        <w:spacing w:after="90"/>
      </w:pPr>
      <w:r>
        <w:rPr>
          <w:rFonts w:ascii="Calibri" w:cs="Calibri" w:eastAsia="Calibri" w:hAnsi="Calibri"/>
          <w:color w:val="2B2F36"/>
          <w:sz w:val="21"/>
          <w:szCs w:val="21"/>
        </w:rPr>
        <w:t xml:space="preserve">MySQL — a dedicated customer_behaviour database was created to host the cleaned table (customer_shopping) and run the ten analytical business questions using aggregate, window, and CTE-based queries.</w:t>
      </w:r>
    </w:p>
    <w:p>
      <w:pPr>
        <w:pStyle w:val="ListParagraph"/>
        <w:numPr>
          <w:ilvl w:val="0"/>
          <w:numId w:val="2"/>
        </w:numPr>
        <w:spacing w:after="90"/>
      </w:pPr>
      <w:r>
        <w:rPr>
          <w:rFonts w:ascii="Calibri" w:cs="Calibri" w:eastAsia="Calibri" w:hAnsi="Calibri"/>
          <w:color w:val="2B2F36"/>
          <w:sz w:val="21"/>
          <w:szCs w:val="21"/>
        </w:rPr>
        <w:t xml:space="preserve">Power BI — a connected dashboard (Customer_behaviour_Dashboard.pbix) was built on top of the same table for interactive, self-serve exploration by non-technical stakeholders.</w:t>
      </w:r>
    </w:p>
    <w:p>
      <w:pPr>
        <w:spacing w:after="160" w:line="276"/>
      </w:pPr>
      <w:r>
        <w:rPr>
          <w:rFonts w:ascii="Calibri" w:cs="Calibri" w:eastAsia="Calibri" w:hAnsi="Calibri"/>
          <w:i/>
          <w:iCs/>
          <w:color w:val="5B6B7C"/>
          <w:sz w:val="19"/>
          <w:szCs w:val="19"/>
        </w:rPr>
        <w:t xml:space="preserve">The full Python cleaning script and all ten SQL analysis queries are reproduced in Appendix C and Appendix D for technical reference.</w:t>
      </w:r>
    </w:p>
    <w:p>
      <w:pPr>
        <w:pStyle w:val="Heading2"/>
        <w:spacing w:after="140" w:before="300"/>
      </w:pPr>
      <w:r>
        <w:rPr>
          <w:rFonts w:ascii="Calibri" w:cs="Calibri" w:eastAsia="Calibri" w:hAnsi="Calibri"/>
          <w:b/>
          <w:bCs/>
          <w:color w:val="1F3A5F"/>
          <w:sz w:val="24"/>
          <w:szCs w:val="24"/>
        </w:rPr>
        <w:t xml:space="preserve">3.3 Data Cleaning &amp; Preparation</w:t>
      </w:r>
    </w:p>
    <w:p>
      <w:pPr>
        <w:spacing w:after="160" w:line="276"/>
      </w:pPr>
      <w:r>
        <w:rPr>
          <w:rFonts w:ascii="Calibri" w:cs="Calibri" w:eastAsia="Calibri" w:hAnsi="Calibri"/>
          <w:color w:val="2B2F36"/>
          <w:sz w:val="21"/>
          <w:szCs w:val="21"/>
        </w:rPr>
        <w:t xml:space="preserve">The following preparation steps were applied before analysis:</w:t>
      </w:r>
    </w:p>
    <w:p>
      <w:pPr>
        <w:pStyle w:val="ListParagraph"/>
        <w:numPr>
          <w:ilvl w:val="0"/>
          <w:numId w:val="2"/>
        </w:numPr>
        <w:spacing w:after="90"/>
      </w:pPr>
      <w:r>
        <w:rPr>
          <w:rFonts w:ascii="Calibri" w:cs="Calibri" w:eastAsia="Calibri" w:hAnsi="Calibri"/>
          <w:color w:val="2B2F36"/>
          <w:sz w:val="21"/>
          <w:szCs w:val="21"/>
        </w:rPr>
        <w:t xml:space="preserve">Missing values: 37 of 3,900 Review Rating values (0.9%) were missing. Rather than impute with a single global median, missing ratings were filled with the median rating within each product category, preserving category-level rating differences.</w:t>
      </w:r>
    </w:p>
    <w:p>
      <w:pPr>
        <w:pStyle w:val="ListParagraph"/>
        <w:numPr>
          <w:ilvl w:val="0"/>
          <w:numId w:val="2"/>
        </w:numPr>
        <w:spacing w:after="90"/>
      </w:pPr>
      <w:r>
        <w:rPr>
          <w:rFonts w:ascii="Calibri" w:cs="Calibri" w:eastAsia="Calibri" w:hAnsi="Calibri"/>
          <w:color w:val="2B2F36"/>
          <w:sz w:val="21"/>
          <w:szCs w:val="21"/>
        </w:rPr>
        <w:t xml:space="preserve">Column standardization: column headers were lower-cased and reformatted to snake_case for consistent SQL compatibility (e.g. "Purchase Amount (USD)" → purchase_amount).</w:t>
      </w:r>
    </w:p>
    <w:p>
      <w:pPr>
        <w:pStyle w:val="ListParagraph"/>
        <w:numPr>
          <w:ilvl w:val="0"/>
          <w:numId w:val="2"/>
        </w:numPr>
        <w:spacing w:after="90"/>
      </w:pPr>
      <w:r>
        <w:rPr>
          <w:rFonts w:ascii="Calibri" w:cs="Calibri" w:eastAsia="Calibri" w:hAnsi="Calibri"/>
          <w:color w:val="2B2F36"/>
          <w:sz w:val="21"/>
          <w:szCs w:val="21"/>
        </w:rPr>
        <w:t xml:space="preserve">Redundant field removal: promo_code_used was found to be identical to discount_applied in every row and was dropped to avoid duplicating the same signal.</w:t>
      </w:r>
    </w:p>
    <w:p>
      <w:pPr>
        <w:pStyle w:val="ListParagraph"/>
        <w:numPr>
          <w:ilvl w:val="0"/>
          <w:numId w:val="2"/>
        </w:numPr>
        <w:spacing w:after="90"/>
      </w:pPr>
      <w:r>
        <w:rPr>
          <w:rFonts w:ascii="Calibri" w:cs="Calibri" w:eastAsia="Calibri" w:hAnsi="Calibri"/>
          <w:color w:val="2B2F36"/>
          <w:sz w:val="21"/>
          <w:szCs w:val="21"/>
        </w:rPr>
        <w:t xml:space="preserve">Feature engineering: an age_group field was derived using quartile binning (Young Adults, Adults, Middle Aged, Senior); a frequency_purchase_days field was derived by mapping each purchase-frequency label (e.g. "Weekly", "Quarterly") to an approximate number of days, to support future recency/frequency modeling.</w:t>
      </w:r>
    </w:p>
    <w:p>
      <w:pPr>
        <w:pStyle w:val="Heading2"/>
        <w:spacing w:after="140" w:before="300"/>
      </w:pPr>
      <w:r>
        <w:rPr>
          <w:rFonts w:ascii="Calibri" w:cs="Calibri" w:eastAsia="Calibri" w:hAnsi="Calibri"/>
          <w:b/>
          <w:bCs/>
          <w:color w:val="1F3A5F"/>
          <w:sz w:val="24"/>
          <w:szCs w:val="24"/>
        </w:rPr>
        <w:t xml:space="preserve">3.4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Layer</w:t>
            </w:r>
          </w:p>
        </w:tc>
        <w:tc>
          <w:tcPr>
            <w:tcW w:type="dxa" w:w="320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Tool</w:t>
            </w:r>
          </w:p>
        </w:tc>
        <w:tc>
          <w:tcPr>
            <w:tcW w:type="dxa" w:w="356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Purpose</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Data preparation</w:t>
            </w:r>
          </w:p>
        </w:tc>
        <w:tc>
          <w:tcPr>
            <w:tcW w:type="dxa" w:w="32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Python (pandas, SQLAlchemy)</w:t>
            </w:r>
          </w:p>
        </w:tc>
        <w:tc>
          <w:tcPr>
            <w:tcW w:type="dxa" w:w="35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Cleaning, feature engineering, load to database</w:t>
            </w:r>
          </w:p>
        </w:tc>
      </w:tr>
      <w:tr>
        <w:tc>
          <w:tcPr>
            <w:tcW w:type="dxa" w:w="26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Data storage &amp; querying</w:t>
            </w:r>
          </w:p>
        </w:tc>
        <w:tc>
          <w:tcPr>
            <w:tcW w:type="dxa" w:w="320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MySQL</w:t>
            </w:r>
          </w:p>
        </w:tc>
        <w:tc>
          <w:tcPr>
            <w:tcW w:type="dxa" w:w="35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Structured querying against the ten business questions</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Visualization</w:t>
            </w:r>
          </w:p>
        </w:tc>
        <w:tc>
          <w:tcPr>
            <w:tcW w:type="dxa" w:w="32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Power BI</w:t>
            </w:r>
          </w:p>
        </w:tc>
        <w:tc>
          <w:tcPr>
            <w:tcW w:type="dxa" w:w="35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Interactive dashboard for business stakeholders</w:t>
            </w:r>
          </w:p>
        </w:tc>
      </w:tr>
      <w:tr>
        <w:tc>
          <w:tcPr>
            <w:tcW w:type="dxa" w:w="26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Reporting</w:t>
            </w:r>
          </w:p>
        </w:tc>
        <w:tc>
          <w:tcPr>
            <w:tcW w:type="dxa" w:w="320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This document</w:t>
            </w:r>
          </w:p>
        </w:tc>
        <w:tc>
          <w:tcPr>
            <w:tcW w:type="dxa" w:w="35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Consolidated findings &amp; recommendations</w:t>
            </w:r>
          </w:p>
        </w:tc>
      </w:tr>
    </w:tbl>
    <w:p>
      <w:r>
        <w:br w:type="page"/>
      </w:r>
    </w:p>
    <w:p>
      <w:pPr>
        <w:pStyle w:val="Heading1"/>
        <w:pBdr>
          <w:bottom w:val="single" w:color="C9A227" w:sz="8" w:space="6"/>
        </w:pBdr>
        <w:spacing w:after="200" w:before="400"/>
      </w:pPr>
      <w:r>
        <w:rPr>
          <w:rFonts w:ascii="Calibri" w:cs="Calibri" w:eastAsia="Calibri" w:hAnsi="Calibri"/>
          <w:b/>
          <w:bCs/>
          <w:color w:val="13263F"/>
          <w:sz w:val="30"/>
          <w:szCs w:val="30"/>
        </w:rPr>
        <w:t xml:space="preserve">4. Revenue &amp; Demographic Analysis</w:t>
      </w:r>
    </w:p>
    <w:p>
      <w:pPr>
        <w:pStyle w:val="Heading2"/>
        <w:spacing w:after="140" w:before="300"/>
      </w:pPr>
      <w:r>
        <w:rPr>
          <w:rFonts w:ascii="Calibri" w:cs="Calibri" w:eastAsia="Calibri" w:hAnsi="Calibri"/>
          <w:b/>
          <w:bCs/>
          <w:color w:val="1F3A5F"/>
          <w:sz w:val="24"/>
          <w:szCs w:val="24"/>
        </w:rPr>
        <w:t xml:space="preserve">4.1 Revenue by Product Category</w:t>
      </w:r>
    </w:p>
    <w:p>
      <w:pPr>
        <w:spacing w:after="160" w:line="276"/>
      </w:pPr>
      <w:r>
        <w:rPr>
          <w:rFonts w:ascii="Calibri" w:cs="Calibri" w:eastAsia="Calibri" w:hAnsi="Calibri"/>
          <w:color w:val="2B2F36"/>
          <w:sz w:val="21"/>
          <w:szCs w:val="21"/>
        </w:rPr>
        <w:t xml:space="preserve">Clothing is the dominant category, generating $104,264 (44.7% of total revenue), followed by Accessories at $74,200 (31.8%). Footwear and Outerwear together account for the remaining 23.5%, suggesting inventory and marketing budgets remain reasonably weighted toward the top two categories.</w:t>
      </w:r>
    </w:p>
    <w:p>
      <w:pPr>
        <w:spacing w:after="8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52750"/>
                    </a:xfrm>
                    <a:prstGeom prst="rect">
                      <a:avLst/>
                    </a:prstGeom>
                  </pic:spPr>
                </pic:pic>
              </a:graphicData>
            </a:graphic>
          </wp:inline>
        </w:drawing>
      </w:r>
    </w:p>
    <w:p>
      <w:pPr>
        <w:spacing w:after="240"/>
        <w:jc w:val="center"/>
      </w:pPr>
      <w:r>
        <w:rPr>
          <w:rFonts w:ascii="Calibri" w:cs="Calibri" w:eastAsia="Calibri" w:hAnsi="Calibri"/>
          <w:i/>
          <w:iCs/>
          <w:color w:val="5B6B7C"/>
          <w:sz w:val="17"/>
          <w:szCs w:val="17"/>
        </w:rPr>
        <w:t xml:space="preserve">Figure 1. Total revenue by product category (USD).</w:t>
      </w:r>
    </w:p>
    <w:p>
      <w:pPr>
        <w:spacing w:after="100"/>
        <w:ind w:left="200"/>
      </w:pPr>
      <w:r>
        <w:rPr>
          <w:rFonts w:ascii="Calibri" w:cs="Calibri" w:eastAsia="Calibri" w:hAnsi="Calibri"/>
          <w:b/>
          <w:bCs/>
          <w:color w:val="C9A227"/>
          <w:sz w:val="21"/>
          <w:szCs w:val="21"/>
        </w:rPr>
        <w:t xml:space="preserve">▸ </w:t>
      </w:r>
      <w:r>
        <w:rPr>
          <w:rFonts w:ascii="Calibri" w:cs="Calibri" w:eastAsia="Calibri" w:hAnsi="Calibri"/>
          <w:b/>
          <w:bCs/>
          <w:color w:val="1F3A5F"/>
          <w:sz w:val="21"/>
          <w:szCs w:val="21"/>
        </w:rPr>
        <w:t xml:space="preserve">Insight: </w:t>
      </w:r>
      <w:r>
        <w:rPr>
          <w:rFonts w:ascii="Calibri" w:cs="Calibri" w:eastAsia="Calibri" w:hAnsi="Calibri"/>
          <w:color w:val="2B2F36"/>
          <w:sz w:val="21"/>
          <w:szCs w:val="21"/>
        </w:rPr>
        <w:t xml:space="preserve">Clothing and Accessories together account for over three-quarters of all revenue — these two categories should anchor category-level promotional calendars.</w:t>
      </w:r>
    </w:p>
    <w:p>
      <w:pPr>
        <w:pStyle w:val="Heading2"/>
        <w:spacing w:after="140" w:before="300"/>
      </w:pPr>
      <w:r>
        <w:rPr>
          <w:rFonts w:ascii="Calibri" w:cs="Calibri" w:eastAsia="Calibri" w:hAnsi="Calibri"/>
          <w:b/>
          <w:bCs/>
          <w:color w:val="1F3A5F"/>
          <w:sz w:val="24"/>
          <w:szCs w:val="24"/>
        </w:rPr>
        <w:t xml:space="preserve">4.2 Revenue by Gender</w:t>
      </w:r>
    </w:p>
    <w:p>
      <w:pPr>
        <w:spacing w:after="160" w:line="276"/>
      </w:pPr>
      <w:r>
        <w:rPr>
          <w:rFonts w:ascii="Calibri" w:cs="Calibri" w:eastAsia="Calibri" w:hAnsi="Calibri"/>
          <w:color w:val="2B2F36"/>
          <w:sz w:val="21"/>
          <w:szCs w:val="21"/>
        </w:rPr>
        <w:t xml:space="preserve">Male customers account for $157,890 in revenue (68%) versus $75,191 (32%) for female customers — a split that is more skewed than the underlying customer count (2,652 male vs. 1,248 female, a 68/32 split by headcount as well), meaning the gender revenue gap is driven primarily by the size of the customer base rather than a material difference in per-customer spend.</w:t>
      </w:r>
    </w:p>
    <w:p>
      <w:pPr>
        <w:spacing w:after="100"/>
        <w:ind w:left="200"/>
      </w:pPr>
      <w:r>
        <w:rPr>
          <w:rFonts w:ascii="Calibri" w:cs="Calibri" w:eastAsia="Calibri" w:hAnsi="Calibri"/>
          <w:b/>
          <w:bCs/>
          <w:color w:val="C9A227"/>
          <w:sz w:val="21"/>
          <w:szCs w:val="21"/>
        </w:rPr>
        <w:t xml:space="preserve">▸ </w:t>
      </w:r>
      <w:r>
        <w:rPr>
          <w:rFonts w:ascii="Calibri" w:cs="Calibri" w:eastAsia="Calibri" w:hAnsi="Calibri"/>
          <w:b/>
          <w:bCs/>
          <w:color w:val="1F3A5F"/>
          <w:sz w:val="21"/>
          <w:szCs w:val="21"/>
        </w:rPr>
        <w:t xml:space="preserve">Insight: </w:t>
      </w:r>
      <w:r>
        <w:rPr>
          <w:rFonts w:ascii="Calibri" w:cs="Calibri" w:eastAsia="Calibri" w:hAnsi="Calibri"/>
          <w:color w:val="2B2F36"/>
          <w:sz w:val="21"/>
          <w:szCs w:val="21"/>
        </w:rPr>
        <w:t xml:space="preserve">Average order value is comparable across genders; the revenue imbalance is a customer-acquisition question, not a spend-per-customer question — female-customer acquisition is a clear growth opportunity.</w:t>
      </w:r>
    </w:p>
    <w:p>
      <w:pPr>
        <w:pStyle w:val="Heading2"/>
        <w:spacing w:after="140" w:before="300"/>
      </w:pPr>
      <w:r>
        <w:rPr>
          <w:rFonts w:ascii="Calibri" w:cs="Calibri" w:eastAsia="Calibri" w:hAnsi="Calibri"/>
          <w:b/>
          <w:bCs/>
          <w:color w:val="1F3A5F"/>
          <w:sz w:val="24"/>
          <w:szCs w:val="24"/>
        </w:rPr>
        <w:t xml:space="preserve">4.3 Revenue by Age Group</w:t>
      </w:r>
    </w:p>
    <w:p>
      <w:pPr>
        <w:spacing w:after="160" w:line="276"/>
      </w:pPr>
      <w:r>
        <w:rPr>
          <w:rFonts w:ascii="Calibri" w:cs="Calibri" w:eastAsia="Calibri" w:hAnsi="Calibri"/>
          <w:color w:val="2B2F36"/>
          <w:sz w:val="21"/>
          <w:szCs w:val="21"/>
        </w:rPr>
        <w:t xml:space="preserve">Revenue is evenly distributed across the four age quartiles, with Young Adults contributing the most ($62,143) and Seniors the least ($55,763) — a spread of only about 10% between the highest and lowest group. Age is therefore not a strong differentiator of total spend in this dataset.</w:t>
      </w:r>
    </w:p>
    <w:p>
      <w:pPr>
        <w:spacing w:after="8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after="240"/>
        <w:jc w:val="center"/>
      </w:pPr>
      <w:r>
        <w:rPr>
          <w:rFonts w:ascii="Calibri" w:cs="Calibri" w:eastAsia="Calibri" w:hAnsi="Calibri"/>
          <w:i/>
          <w:iCs/>
          <w:color w:val="5B6B7C"/>
          <w:sz w:val="17"/>
          <w:szCs w:val="17"/>
        </w:rPr>
        <w:t xml:space="preserve">Figure 2. Revenue contribution by age group (quartile-based segmentation).</w:t>
      </w:r>
    </w:p>
    <w:p>
      <w:r>
        <w:br w:type="page"/>
      </w:r>
    </w:p>
    <w:p>
      <w:pPr>
        <w:pStyle w:val="Heading1"/>
        <w:pBdr>
          <w:bottom w:val="single" w:color="C9A227" w:sz="8" w:space="6"/>
        </w:pBdr>
        <w:spacing w:after="200" w:before="400"/>
      </w:pPr>
      <w:r>
        <w:rPr>
          <w:rFonts w:ascii="Calibri" w:cs="Calibri" w:eastAsia="Calibri" w:hAnsi="Calibri"/>
          <w:b/>
          <w:bCs/>
          <w:color w:val="13263F"/>
          <w:sz w:val="30"/>
          <w:szCs w:val="30"/>
        </w:rPr>
        <w:t xml:space="preserve">5. Customer Loyalty &amp; Segmentation</w:t>
      </w:r>
    </w:p>
    <w:p>
      <w:pPr>
        <w:pStyle w:val="Heading2"/>
        <w:spacing w:after="140" w:before="300"/>
      </w:pPr>
      <w:r>
        <w:rPr>
          <w:rFonts w:ascii="Calibri" w:cs="Calibri" w:eastAsia="Calibri" w:hAnsi="Calibri"/>
          <w:b/>
          <w:bCs/>
          <w:color w:val="1F3A5F"/>
          <w:sz w:val="24"/>
          <w:szCs w:val="24"/>
        </w:rPr>
        <w:t xml:space="preserve">5.1 Subscribers vs. Non-Subscribers</w:t>
      </w:r>
    </w:p>
    <w:p>
      <w:pPr>
        <w:spacing w:after="160" w:line="276"/>
      </w:pPr>
      <w:r>
        <w:rPr>
          <w:rFonts w:ascii="Calibri" w:cs="Calibri" w:eastAsia="Calibri" w:hAnsi="Calibri"/>
          <w:color w:val="2B2F36"/>
          <w:sz w:val="21"/>
          <w:szCs w:val="21"/>
        </w:rPr>
        <w:t xml:space="preserve">Only 1,053 of 3,900 customers (27.0%) are enrolled in the subscription program. Contrary to the common assumption that subscribers are higher-value customers, subscribers spend a near-identical average of $59.49 per order compared to $59.87 for non-subscribers — a difference of less than 1%.</w:t>
      </w:r>
    </w:p>
    <w:p>
      <w:pPr>
        <w:spacing w:after="80" w:before="12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43175"/>
                    </a:xfrm>
                    <a:prstGeom prst="rect">
                      <a:avLst/>
                    </a:prstGeom>
                  </pic:spPr>
                </pic:pic>
              </a:graphicData>
            </a:graphic>
          </wp:inline>
        </w:drawing>
      </w:r>
    </w:p>
    <w:p>
      <w:pPr>
        <w:spacing w:after="240"/>
        <w:jc w:val="center"/>
      </w:pPr>
      <w:r>
        <w:rPr>
          <w:rFonts w:ascii="Calibri" w:cs="Calibri" w:eastAsia="Calibri" w:hAnsi="Calibri"/>
          <w:i/>
          <w:iCs/>
          <w:color w:val="5B6B7C"/>
          <w:sz w:val="17"/>
          <w:szCs w:val="17"/>
        </w:rPr>
        <w:t xml:space="preserve">Figure 3. Average order value and total revenue: subscribers vs. non-subscribers.</w:t>
      </w:r>
    </w:p>
    <w:p>
      <w:pPr>
        <w:spacing w:after="100"/>
        <w:ind w:left="200"/>
      </w:pPr>
      <w:r>
        <w:rPr>
          <w:rFonts w:ascii="Calibri" w:cs="Calibri" w:eastAsia="Calibri" w:hAnsi="Calibri"/>
          <w:b/>
          <w:bCs/>
          <w:color w:val="C9A227"/>
          <w:sz w:val="21"/>
          <w:szCs w:val="21"/>
        </w:rPr>
        <w:t xml:space="preserve">▸ </w:t>
      </w:r>
      <w:r>
        <w:rPr>
          <w:rFonts w:ascii="Calibri" w:cs="Calibri" w:eastAsia="Calibri" w:hAnsi="Calibri"/>
          <w:b/>
          <w:bCs/>
          <w:color w:val="1F3A5F"/>
          <w:sz w:val="21"/>
          <w:szCs w:val="21"/>
        </w:rPr>
        <w:t xml:space="preserve">Insight: </w:t>
      </w:r>
      <w:r>
        <w:rPr>
          <w:rFonts w:ascii="Calibri" w:cs="Calibri" w:eastAsia="Calibri" w:hAnsi="Calibri"/>
          <w:color w:val="2B2F36"/>
          <w:sz w:val="21"/>
          <w:szCs w:val="21"/>
        </w:rPr>
        <w:t xml:space="preserve">Subscription status does not currently correlate with higher spend per order. The subscription program's value today is in retention and predictable revenue, not basket size — messaging and incentives should be recalibrated around that framing.</w:t>
      </w:r>
    </w:p>
    <w:p>
      <w:pPr>
        <w:pStyle w:val="Heading2"/>
        <w:spacing w:after="140" w:before="300"/>
      </w:pPr>
      <w:r>
        <w:rPr>
          <w:rFonts w:ascii="Calibri" w:cs="Calibri" w:eastAsia="Calibri" w:hAnsi="Calibri"/>
          <w:b/>
          <w:bCs/>
          <w:color w:val="1F3A5F"/>
          <w:sz w:val="24"/>
          <w:szCs w:val="24"/>
        </w:rPr>
        <w:t xml:space="preserve">5.2 Repeat Buyers and Subscription Likelihood</w:t>
      </w:r>
    </w:p>
    <w:p>
      <w:pPr>
        <w:spacing w:after="160" w:line="276"/>
      </w:pPr>
      <w:r>
        <w:rPr>
          <w:rFonts w:ascii="Calibri" w:cs="Calibri" w:eastAsia="Calibri" w:hAnsi="Calibri"/>
          <w:color w:val="2B2F36"/>
          <w:sz w:val="21"/>
          <w:szCs w:val="21"/>
        </w:rPr>
        <w:t xml:space="preserve">Among the 3,476 customers with more than 5 previous purchases, only 27.6% are currently subscribed, while 72.4% remain non-subscribers. This is nearly identical to the subscription rate across the full customer base (27.0%), indicating that purchase frequency alone is not currently driving customers into the subscription funnel.</w:t>
      </w:r>
    </w:p>
    <w:p>
      <w:pPr>
        <w:spacing w:after="80" w:before="12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71775"/>
                    </a:xfrm>
                    <a:prstGeom prst="rect">
                      <a:avLst/>
                    </a:prstGeom>
                  </pic:spPr>
                </pic:pic>
              </a:graphicData>
            </a:graphic>
          </wp:inline>
        </w:drawing>
      </w:r>
    </w:p>
    <w:p>
      <w:pPr>
        <w:spacing w:after="240"/>
        <w:jc w:val="center"/>
      </w:pPr>
      <w:r>
        <w:rPr>
          <w:rFonts w:ascii="Calibri" w:cs="Calibri" w:eastAsia="Calibri" w:hAnsi="Calibri"/>
          <w:i/>
          <w:iCs/>
          <w:color w:val="5B6B7C"/>
          <w:sz w:val="17"/>
          <w:szCs w:val="17"/>
        </w:rPr>
        <w:t xml:space="preserve">Figure 4. Subscription rate among customers with more than 5 previous purchases.</w:t>
      </w:r>
    </w:p>
    <w:p>
      <w:pPr>
        <w:spacing w:after="100"/>
        <w:ind w:left="200"/>
      </w:pPr>
      <w:r>
        <w:rPr>
          <w:rFonts w:ascii="Calibri" w:cs="Calibri" w:eastAsia="Calibri" w:hAnsi="Calibri"/>
          <w:b/>
          <w:bCs/>
          <w:color w:val="C9A227"/>
          <w:sz w:val="21"/>
          <w:szCs w:val="21"/>
        </w:rPr>
        <w:t xml:space="preserve">▸ </w:t>
      </w:r>
      <w:r>
        <w:rPr>
          <w:rFonts w:ascii="Calibri" w:cs="Calibri" w:eastAsia="Calibri" w:hAnsi="Calibri"/>
          <w:b/>
          <w:bCs/>
          <w:color w:val="1F3A5F"/>
          <w:sz w:val="21"/>
          <w:szCs w:val="21"/>
        </w:rPr>
        <w:t xml:space="preserve">Insight: </w:t>
      </w:r>
      <w:r>
        <w:rPr>
          <w:rFonts w:ascii="Calibri" w:cs="Calibri" w:eastAsia="Calibri" w:hAnsi="Calibri"/>
          <w:color w:val="2B2F36"/>
          <w:sz w:val="21"/>
          <w:szCs w:val="21"/>
        </w:rPr>
        <w:t xml:space="preserve">A large pool of proven repeat buyers (over 2,500 customers) are not subscribed — this is the highest-propensity segment for a targeted subscription conversion campaign.</w:t>
      </w:r>
    </w:p>
    <w:p>
      <w:pPr>
        <w:pStyle w:val="Heading2"/>
        <w:spacing w:after="140" w:before="300"/>
      </w:pPr>
      <w:r>
        <w:rPr>
          <w:rFonts w:ascii="Calibri" w:cs="Calibri" w:eastAsia="Calibri" w:hAnsi="Calibri"/>
          <w:b/>
          <w:bCs/>
          <w:color w:val="1F3A5F"/>
          <w:sz w:val="24"/>
          <w:szCs w:val="24"/>
        </w:rPr>
        <w:t xml:space="preserve">5.3 Customer Segmentation</w:t>
      </w:r>
    </w:p>
    <w:p>
      <w:pPr>
        <w:spacing w:after="160" w:line="276"/>
      </w:pPr>
      <w:r>
        <w:rPr>
          <w:rFonts w:ascii="Calibri" w:cs="Calibri" w:eastAsia="Calibri" w:hAnsi="Calibri"/>
          <w:color w:val="2B2F36"/>
          <w:sz w:val="21"/>
          <w:szCs w:val="21"/>
        </w:rPr>
        <w:t xml:space="preserve">Customers were segmented by total previous purchases into three tiers: New (0–2 prior purchases), Returning (3–10), and Loyal (11+). The base skews heavily toward Loyal customers (3,116, or 79.9%), with far fewer Returning (629, 16.1%) and New (155, 4.0%) customers.</w:t>
      </w:r>
    </w:p>
    <w:p>
      <w:pPr>
        <w:spacing w:after="80" w:before="120"/>
        <w:jc w:val="center"/>
      </w:pPr>
      <w:r>
        <w:drawing>
          <wp:inline distT="0" distB="0" distL="0" distR="0">
            <wp:extent cx="4000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76575"/>
                    </a:xfrm>
                    <a:prstGeom prst="rect">
                      <a:avLst/>
                    </a:prstGeom>
                  </pic:spPr>
                </pic:pic>
              </a:graphicData>
            </a:graphic>
          </wp:inline>
        </w:drawing>
      </w:r>
    </w:p>
    <w:p>
      <w:pPr>
        <w:spacing w:after="240"/>
        <w:jc w:val="center"/>
      </w:pPr>
      <w:r>
        <w:rPr>
          <w:rFonts w:ascii="Calibri" w:cs="Calibri" w:eastAsia="Calibri" w:hAnsi="Calibri"/>
          <w:i/>
          <w:iCs/>
          <w:color w:val="5B6B7C"/>
          <w:sz w:val="17"/>
          <w:szCs w:val="17"/>
        </w:rPr>
        <w:t xml:space="preserve">Figure 5. Customer distribution by loyalty segment.</w:t>
      </w:r>
    </w:p>
    <w:p>
      <w:pPr>
        <w:spacing w:after="100"/>
        <w:ind w:left="200"/>
      </w:pPr>
      <w:r>
        <w:rPr>
          <w:rFonts w:ascii="Calibri" w:cs="Calibri" w:eastAsia="Calibri" w:hAnsi="Calibri"/>
          <w:b/>
          <w:bCs/>
          <w:color w:val="C9A227"/>
          <w:sz w:val="21"/>
          <w:szCs w:val="21"/>
        </w:rPr>
        <w:t xml:space="preserve">▸ </w:t>
      </w:r>
      <w:r>
        <w:rPr>
          <w:rFonts w:ascii="Calibri" w:cs="Calibri" w:eastAsia="Calibri" w:hAnsi="Calibri"/>
          <w:b/>
          <w:bCs/>
          <w:color w:val="1F3A5F"/>
          <w:sz w:val="21"/>
          <w:szCs w:val="21"/>
        </w:rPr>
        <w:t xml:space="preserve">Insight: </w:t>
      </w:r>
      <w:r>
        <w:rPr>
          <w:rFonts w:ascii="Calibri" w:cs="Calibri" w:eastAsia="Calibri" w:hAnsi="Calibri"/>
          <w:color w:val="2B2F36"/>
          <w:sz w:val="21"/>
          <w:szCs w:val="21"/>
        </w:rPr>
        <w:t xml:space="preserve">The customer base is mature and loyalty-heavy. New-customer acquisition volume appears comparatively low and should be reviewed against the same window used to define "previous purchases."</w:t>
      </w:r>
    </w:p>
    <w:p>
      <w:r>
        <w:br w:type="page"/>
      </w:r>
    </w:p>
    <w:p>
      <w:pPr>
        <w:pStyle w:val="Heading1"/>
        <w:pBdr>
          <w:bottom w:val="single" w:color="C9A227" w:sz="8" w:space="6"/>
        </w:pBdr>
        <w:spacing w:after="200" w:before="400"/>
      </w:pPr>
      <w:r>
        <w:rPr>
          <w:rFonts w:ascii="Calibri" w:cs="Calibri" w:eastAsia="Calibri" w:hAnsi="Calibri"/>
          <w:b/>
          <w:bCs/>
          <w:color w:val="13263F"/>
          <w:sz w:val="30"/>
          <w:szCs w:val="30"/>
        </w:rPr>
        <w:t xml:space="preserve">6. Product Performance</w:t>
      </w:r>
    </w:p>
    <w:p>
      <w:pPr>
        <w:pStyle w:val="Heading2"/>
        <w:spacing w:after="140" w:before="300"/>
      </w:pPr>
      <w:r>
        <w:rPr>
          <w:rFonts w:ascii="Calibri" w:cs="Calibri" w:eastAsia="Calibri" w:hAnsi="Calibri"/>
          <w:b/>
          <w:bCs/>
          <w:color w:val="1F3A5F"/>
          <w:sz w:val="24"/>
          <w:szCs w:val="24"/>
        </w:rPr>
        <w:t xml:space="preserve">6.1 Highest-Rated Products</w:t>
      </w:r>
    </w:p>
    <w:p>
      <w:pPr>
        <w:spacing w:after="160" w:line="276"/>
      </w:pPr>
      <w:r>
        <w:rPr>
          <w:rFonts w:ascii="Calibri" w:cs="Calibri" w:eastAsia="Calibri" w:hAnsi="Calibri"/>
          <w:color w:val="2B2F36"/>
          <w:sz w:val="21"/>
          <w:szCs w:val="21"/>
        </w:rPr>
        <w:t xml:space="preserve">Gloves (3.86), Sandals (3.84), Boots (3.82), Hat (3.80), and Skirt (3.78) received the highest average review ratings, all modestly above the overall average of 3.75.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Rank</w:t>
            </w:r>
          </w:p>
        </w:tc>
        <w:tc>
          <w:tcPr>
            <w:tcW w:type="dxa" w:w="468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Product</w:t>
            </w:r>
          </w:p>
        </w:tc>
        <w:tc>
          <w:tcPr>
            <w:tcW w:type="dxa" w:w="312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Avg. Review Rating</w:t>
            </w:r>
          </w:p>
        </w:tc>
      </w:tr>
      <w:tr>
        <w:tc>
          <w:tcPr>
            <w:tcW w:type="dxa" w:w="156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1</w:t>
            </w:r>
          </w:p>
        </w:tc>
        <w:tc>
          <w:tcPr>
            <w:tcW w:type="dxa" w:w="468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Gloves</w:t>
            </w:r>
          </w:p>
        </w:tc>
        <w:tc>
          <w:tcPr>
            <w:tcW w:type="dxa" w:w="312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3.86</w:t>
            </w:r>
          </w:p>
        </w:tc>
      </w:tr>
      <w:tr>
        <w:tc>
          <w:tcPr>
            <w:tcW w:type="dxa" w:w="156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2</w:t>
            </w:r>
          </w:p>
        </w:tc>
        <w:tc>
          <w:tcPr>
            <w:tcW w:type="dxa" w:w="468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Sandals</w:t>
            </w:r>
          </w:p>
        </w:tc>
        <w:tc>
          <w:tcPr>
            <w:tcW w:type="dxa" w:w="312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3.84</w:t>
            </w:r>
          </w:p>
        </w:tc>
      </w:tr>
      <w:tr>
        <w:tc>
          <w:tcPr>
            <w:tcW w:type="dxa" w:w="156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3</w:t>
            </w:r>
          </w:p>
        </w:tc>
        <w:tc>
          <w:tcPr>
            <w:tcW w:type="dxa" w:w="468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Boots</w:t>
            </w:r>
          </w:p>
        </w:tc>
        <w:tc>
          <w:tcPr>
            <w:tcW w:type="dxa" w:w="312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3.82</w:t>
            </w:r>
          </w:p>
        </w:tc>
      </w:tr>
      <w:tr>
        <w:tc>
          <w:tcPr>
            <w:tcW w:type="dxa" w:w="156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4</w:t>
            </w:r>
          </w:p>
        </w:tc>
        <w:tc>
          <w:tcPr>
            <w:tcW w:type="dxa" w:w="468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Hat</w:t>
            </w:r>
          </w:p>
        </w:tc>
        <w:tc>
          <w:tcPr>
            <w:tcW w:type="dxa" w:w="312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3.80</w:t>
            </w:r>
          </w:p>
        </w:tc>
      </w:tr>
      <w:tr>
        <w:tc>
          <w:tcPr>
            <w:tcW w:type="dxa" w:w="156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5</w:t>
            </w:r>
          </w:p>
        </w:tc>
        <w:tc>
          <w:tcPr>
            <w:tcW w:type="dxa" w:w="468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Skirt</w:t>
            </w:r>
          </w:p>
        </w:tc>
        <w:tc>
          <w:tcPr>
            <w:tcW w:type="dxa" w:w="312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3.78</w:t>
            </w:r>
          </w:p>
        </w:tc>
      </w:tr>
    </w:tbl>
    <w:p>
      <w:pPr>
        <w:spacing w:after="200"/>
      </w:pPr>
    </w:p>
    <w:p>
      <w:pPr>
        <w:pStyle w:val="Heading2"/>
        <w:spacing w:after="140" w:before="300"/>
      </w:pPr>
      <w:r>
        <w:rPr>
          <w:rFonts w:ascii="Calibri" w:cs="Calibri" w:eastAsia="Calibri" w:hAnsi="Calibri"/>
          <w:b/>
          <w:bCs/>
          <w:color w:val="1F3A5F"/>
          <w:sz w:val="24"/>
          <w:szCs w:val="24"/>
        </w:rPr>
        <w:t xml:space="preserve">6.2 Top 3 Products per Category (by Order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Category</w:t>
            </w:r>
          </w:p>
        </w:tc>
        <w:tc>
          <w:tcPr>
            <w:tcW w:type="dxa" w:w="240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Rank 1</w:t>
            </w:r>
          </w:p>
        </w:tc>
        <w:tc>
          <w:tcPr>
            <w:tcW w:type="dxa" w:w="240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Rank 2</w:t>
            </w:r>
          </w:p>
        </w:tc>
        <w:tc>
          <w:tcPr>
            <w:tcW w:type="dxa" w:w="240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Rank 3</w:t>
            </w:r>
          </w:p>
        </w:tc>
      </w:tr>
      <w:tr>
        <w:tc>
          <w:tcPr>
            <w:tcW w:type="dxa" w:w="216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Accessories</w:t>
            </w:r>
          </w:p>
        </w:tc>
        <w:tc>
          <w:tcPr>
            <w:tcW w:type="dxa" w:w="24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Jewelry (171)</w:t>
            </w:r>
          </w:p>
        </w:tc>
        <w:tc>
          <w:tcPr>
            <w:tcW w:type="dxa" w:w="24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Belt (161)</w:t>
            </w:r>
          </w:p>
        </w:tc>
        <w:tc>
          <w:tcPr>
            <w:tcW w:type="dxa" w:w="24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Sunglasses (161)</w:t>
            </w:r>
          </w:p>
        </w:tc>
      </w:tr>
      <w:tr>
        <w:tc>
          <w:tcPr>
            <w:tcW w:type="dxa" w:w="216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Clothing</w:t>
            </w:r>
          </w:p>
        </w:tc>
        <w:tc>
          <w:tcPr>
            <w:tcW w:type="dxa" w:w="240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Blouse (171)</w:t>
            </w:r>
          </w:p>
        </w:tc>
        <w:tc>
          <w:tcPr>
            <w:tcW w:type="dxa" w:w="240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Pants (171)</w:t>
            </w:r>
          </w:p>
        </w:tc>
        <w:tc>
          <w:tcPr>
            <w:tcW w:type="dxa" w:w="240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Shirt (169)</w:t>
            </w:r>
          </w:p>
        </w:tc>
      </w:tr>
      <w:tr>
        <w:tc>
          <w:tcPr>
            <w:tcW w:type="dxa" w:w="216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Footwear</w:t>
            </w:r>
          </w:p>
        </w:tc>
        <w:tc>
          <w:tcPr>
            <w:tcW w:type="dxa" w:w="24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Sandals (160)</w:t>
            </w:r>
          </w:p>
        </w:tc>
        <w:tc>
          <w:tcPr>
            <w:tcW w:type="dxa" w:w="24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Shoes (150)</w:t>
            </w:r>
          </w:p>
        </w:tc>
        <w:tc>
          <w:tcPr>
            <w:tcW w:type="dxa" w:w="24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Sneakers (145)</w:t>
            </w:r>
          </w:p>
        </w:tc>
      </w:tr>
      <w:tr>
        <w:tc>
          <w:tcPr>
            <w:tcW w:type="dxa" w:w="216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Outerwear</w:t>
            </w:r>
          </w:p>
        </w:tc>
        <w:tc>
          <w:tcPr>
            <w:tcW w:type="dxa" w:w="240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Jacket (163)</w:t>
            </w:r>
          </w:p>
        </w:tc>
        <w:tc>
          <w:tcPr>
            <w:tcW w:type="dxa" w:w="240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Coat (161)</w:t>
            </w:r>
          </w:p>
        </w:tc>
        <w:tc>
          <w:tcPr>
            <w:tcW w:type="dxa" w:w="240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w:t>
            </w:r>
          </w:p>
        </w:tc>
      </w:tr>
    </w:tbl>
    <w:p>
      <w:pPr>
        <w:spacing w:after="200"/>
      </w:pPr>
    </w:p>
    <w:p>
      <w:pPr>
        <w:spacing w:after="160" w:line="276"/>
      </w:pPr>
      <w:r>
        <w:rPr>
          <w:rFonts w:ascii="Calibri" w:cs="Calibri" w:eastAsia="Calibri" w:hAnsi="Calibri"/>
          <w:color w:val="2B2F36"/>
          <w:sz w:val="21"/>
          <w:szCs w:val="21"/>
        </w:rPr>
        <w:t xml:space="preserve">Order volumes are tightly clustered within each category (typically within 10–15 orders of one another), indicating broad-based demand across the assortment rather than dependence on one or two hero SKUs.</w:t>
      </w:r>
    </w:p>
    <w:p>
      <w:pPr>
        <w:pStyle w:val="Heading2"/>
        <w:spacing w:after="140" w:before="300"/>
      </w:pPr>
      <w:r>
        <w:rPr>
          <w:rFonts w:ascii="Calibri" w:cs="Calibri" w:eastAsia="Calibri" w:hAnsi="Calibri"/>
          <w:b/>
          <w:bCs/>
          <w:color w:val="1F3A5F"/>
          <w:sz w:val="24"/>
          <w:szCs w:val="24"/>
        </w:rPr>
        <w:t xml:space="preserve">6.3 Discount Penetration by Product</w:t>
      </w:r>
    </w:p>
    <w:p>
      <w:pPr>
        <w:spacing w:after="160" w:line="276"/>
      </w:pPr>
      <w:r>
        <w:rPr>
          <w:rFonts w:ascii="Calibri" w:cs="Calibri" w:eastAsia="Calibri" w:hAnsi="Calibri"/>
          <w:color w:val="2B2F36"/>
          <w:sz w:val="21"/>
          <w:szCs w:val="21"/>
        </w:rPr>
        <w:t xml:space="preserve">Hat (50.0%), Sneakers (49.7%), Coat (49.1%), Sweater (48.2%), and Pants (47.4%) have the highest share of orders sold with a discount applied — all close to half of all transactions for those items.</w:t>
      </w:r>
    </w:p>
    <w:p>
      <w:pPr>
        <w:spacing w:after="80" w:before="12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90825"/>
                    </a:xfrm>
                    <a:prstGeom prst="rect">
                      <a:avLst/>
                    </a:prstGeom>
                  </pic:spPr>
                </pic:pic>
              </a:graphicData>
            </a:graphic>
          </wp:inline>
        </w:drawing>
      </w:r>
    </w:p>
    <w:p>
      <w:pPr>
        <w:spacing w:after="240"/>
        <w:jc w:val="center"/>
      </w:pPr>
      <w:r>
        <w:rPr>
          <w:rFonts w:ascii="Calibri" w:cs="Calibri" w:eastAsia="Calibri" w:hAnsi="Calibri"/>
          <w:i/>
          <w:iCs/>
          <w:color w:val="5B6B7C"/>
          <w:sz w:val="17"/>
          <w:szCs w:val="17"/>
        </w:rPr>
        <w:t xml:space="preserve">Figure 6. Top 5 products by percentage of orders with a discount applied.</w:t>
      </w:r>
    </w:p>
    <w:p>
      <w:pPr>
        <w:spacing w:after="100"/>
        <w:ind w:left="200"/>
      </w:pPr>
      <w:r>
        <w:rPr>
          <w:rFonts w:ascii="Calibri" w:cs="Calibri" w:eastAsia="Calibri" w:hAnsi="Calibri"/>
          <w:b/>
          <w:bCs/>
          <w:color w:val="C9A227"/>
          <w:sz w:val="21"/>
          <w:szCs w:val="21"/>
        </w:rPr>
        <w:t xml:space="preserve">▸ </w:t>
      </w:r>
      <w:r>
        <w:rPr>
          <w:rFonts w:ascii="Calibri" w:cs="Calibri" w:eastAsia="Calibri" w:hAnsi="Calibri"/>
          <w:b/>
          <w:bCs/>
          <w:color w:val="1F3A5F"/>
          <w:sz w:val="21"/>
          <w:szCs w:val="21"/>
        </w:rPr>
        <w:t xml:space="preserve">Insight: </w:t>
      </w:r>
      <w:r>
        <w:rPr>
          <w:rFonts w:ascii="Calibri" w:cs="Calibri" w:eastAsia="Calibri" w:hAnsi="Calibri"/>
          <w:color w:val="2B2F36"/>
          <w:sz w:val="21"/>
          <w:szCs w:val="21"/>
        </w:rPr>
        <w:t xml:space="preserve">Discount reliance is concentrated in a specific set of products rather than spread evenly across the catalog — these items warrant a margin review to confirm discounting is driving incremental volume rather than eroding margin on units that would sell regardless.</w:t>
      </w:r>
    </w:p>
    <w:p>
      <w:pPr>
        <w:pStyle w:val="Heading2"/>
        <w:spacing w:after="140" w:before="300"/>
      </w:pPr>
      <w:r>
        <w:rPr>
          <w:rFonts w:ascii="Calibri" w:cs="Calibri" w:eastAsia="Calibri" w:hAnsi="Calibri"/>
          <w:b/>
          <w:bCs/>
          <w:color w:val="1F3A5F"/>
          <w:sz w:val="24"/>
          <w:szCs w:val="24"/>
        </w:rPr>
        <w:t xml:space="preserve">6.4 Discount Impact on Spend</w:t>
      </w:r>
    </w:p>
    <w:p>
      <w:pPr>
        <w:spacing w:after="160" w:line="276"/>
      </w:pPr>
      <w:r>
        <w:rPr>
          <w:rFonts w:ascii="Calibri" w:cs="Calibri" w:eastAsia="Calibri" w:hAnsi="Calibri"/>
          <w:color w:val="2B2F36"/>
          <w:sz w:val="21"/>
          <w:szCs w:val="21"/>
        </w:rPr>
        <w:t xml:space="preserve">Of the 1,677 discounted orders (43.0% of all orders), 839 (50.0%) were still above the overall average order value of $59.76 — confirming that discounting is not confined to lower-value baskets and is used broadly across the price spectrum.</w:t>
      </w:r>
    </w:p>
    <w:p>
      <w:r>
        <w:br w:type="page"/>
      </w:r>
    </w:p>
    <w:p>
      <w:pPr>
        <w:pStyle w:val="Heading1"/>
        <w:pBdr>
          <w:bottom w:val="single" w:color="C9A227" w:sz="8" w:space="6"/>
        </w:pBdr>
        <w:spacing w:after="200" w:before="400"/>
      </w:pPr>
      <w:r>
        <w:rPr>
          <w:rFonts w:ascii="Calibri" w:cs="Calibri" w:eastAsia="Calibri" w:hAnsi="Calibri"/>
          <w:b/>
          <w:bCs/>
          <w:color w:val="13263F"/>
          <w:sz w:val="30"/>
          <w:szCs w:val="30"/>
        </w:rPr>
        <w:t xml:space="preserve">7. Operational &amp; Seasonal Patterns</w:t>
      </w:r>
    </w:p>
    <w:p>
      <w:pPr>
        <w:pStyle w:val="Heading2"/>
        <w:spacing w:after="140" w:before="300"/>
      </w:pPr>
      <w:r>
        <w:rPr>
          <w:rFonts w:ascii="Calibri" w:cs="Calibri" w:eastAsia="Calibri" w:hAnsi="Calibri"/>
          <w:b/>
          <w:bCs/>
          <w:color w:val="1F3A5F"/>
          <w:sz w:val="24"/>
          <w:szCs w:val="24"/>
        </w:rPr>
        <w:t xml:space="preserve">7.1 Shipping Method and Order Value</w:t>
      </w:r>
    </w:p>
    <w:p>
      <w:pPr>
        <w:spacing w:after="160" w:line="276"/>
      </w:pPr>
      <w:r>
        <w:rPr>
          <w:rFonts w:ascii="Calibri" w:cs="Calibri" w:eastAsia="Calibri" w:hAnsi="Calibri"/>
          <w:color w:val="2B2F36"/>
          <w:sz w:val="21"/>
          <w:szCs w:val="21"/>
        </w:rPr>
        <w:t xml:space="preserve">Average order value is remarkably consistent across shipping methods, ranging narrowly from $58.46 (Standard) to $60.73 (2-Day Shipping) — a spread of less than 4%. Customers do not appear to select premium shipping options based on basket size.</w:t>
      </w:r>
    </w:p>
    <w:p>
      <w:pPr>
        <w:spacing w:after="80" w:before="12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90825"/>
                    </a:xfrm>
                    <a:prstGeom prst="rect">
                      <a:avLst/>
                    </a:prstGeom>
                  </pic:spPr>
                </pic:pic>
              </a:graphicData>
            </a:graphic>
          </wp:inline>
        </w:drawing>
      </w:r>
    </w:p>
    <w:p>
      <w:pPr>
        <w:spacing w:after="240"/>
        <w:jc w:val="center"/>
      </w:pPr>
      <w:r>
        <w:rPr>
          <w:rFonts w:ascii="Calibri" w:cs="Calibri" w:eastAsia="Calibri" w:hAnsi="Calibri"/>
          <w:i/>
          <w:iCs/>
          <w:color w:val="5B6B7C"/>
          <w:sz w:val="17"/>
          <w:szCs w:val="17"/>
        </w:rPr>
        <w:t xml:space="preserve">Figure 7. Average order value by shipping type.</w:t>
      </w:r>
    </w:p>
    <w:p>
      <w:pPr>
        <w:pStyle w:val="Heading2"/>
        <w:spacing w:after="140" w:before="300"/>
      </w:pPr>
      <w:r>
        <w:rPr>
          <w:rFonts w:ascii="Calibri" w:cs="Calibri" w:eastAsia="Calibri" w:hAnsi="Calibri"/>
          <w:b/>
          <w:bCs/>
          <w:color w:val="1F3A5F"/>
          <w:sz w:val="24"/>
          <w:szCs w:val="24"/>
        </w:rPr>
        <w:t xml:space="preserve">7.2 Seasonal Revenue</w:t>
      </w:r>
    </w:p>
    <w:p>
      <w:pPr>
        <w:spacing w:after="160" w:line="276"/>
      </w:pPr>
      <w:r>
        <w:rPr>
          <w:rFonts w:ascii="Calibri" w:cs="Calibri" w:eastAsia="Calibri" w:hAnsi="Calibri"/>
          <w:color w:val="2B2F36"/>
          <w:sz w:val="21"/>
          <w:szCs w:val="21"/>
        </w:rPr>
        <w:t xml:space="preserve">Revenue is broadly balanced across seasons: Fall ($60,018), Spring ($58,679), Winter ($58,607), and Summer ($55,777, the lowest). The gap between the strongest and weakest season is under 8%, indicating limited seasonality in this dataset relative to typical apparel retail patterns.</w:t>
      </w:r>
    </w:p>
    <w:p>
      <w:pPr>
        <w:pStyle w:val="Heading2"/>
        <w:spacing w:after="140" w:before="300"/>
      </w:pPr>
      <w:r>
        <w:rPr>
          <w:rFonts w:ascii="Calibri" w:cs="Calibri" w:eastAsia="Calibri" w:hAnsi="Calibri"/>
          <w:b/>
          <w:bCs/>
          <w:color w:val="1F3A5F"/>
          <w:sz w:val="24"/>
          <w:szCs w:val="24"/>
        </w:rPr>
        <w:t xml:space="preserve">7.3 Geographic &amp; Payment Distribution</w:t>
      </w:r>
    </w:p>
    <w:p>
      <w:pPr>
        <w:spacing w:after="160" w:line="276"/>
      </w:pPr>
      <w:r>
        <w:rPr>
          <w:rFonts w:ascii="Calibri" w:cs="Calibri" w:eastAsia="Calibri" w:hAnsi="Calibri"/>
          <w:color w:val="2B2F36"/>
          <w:sz w:val="21"/>
          <w:szCs w:val="21"/>
        </w:rPr>
        <w:t xml:space="preserve">Revenue is well-distributed geographically, with the top five states by revenue — Montana ($5,784), Illinois ($5,617), California ($5,605), Idaho ($5,587), and Nevada ($5,514) — each contributing only 2–2.5% of total revenue, with no single market dominating. Payment method usage is similarly balanced across PayPal, Credit Card, Cash, Debit Card, Venmo, and Bank Transfer, each representing roughly 16–17% of transactions.</w:t>
      </w:r>
    </w:p>
    <w:p>
      <w:r>
        <w:br w:type="page"/>
      </w:r>
    </w:p>
    <w:p>
      <w:pPr>
        <w:pStyle w:val="Heading1"/>
        <w:pBdr>
          <w:bottom w:val="single" w:color="C9A227" w:sz="8" w:space="6"/>
        </w:pBdr>
        <w:spacing w:after="200" w:before="400"/>
      </w:pPr>
      <w:r>
        <w:rPr>
          <w:rFonts w:ascii="Calibri" w:cs="Calibri" w:eastAsia="Calibri" w:hAnsi="Calibri"/>
          <w:b/>
          <w:bCs/>
          <w:color w:val="13263F"/>
          <w:sz w:val="30"/>
          <w:szCs w:val="30"/>
        </w:rPr>
        <w:t xml:space="preserve">8. Power BI Dashboard</w:t>
      </w:r>
    </w:p>
    <w:p>
      <w:pPr>
        <w:spacing w:after="160" w:line="276"/>
      </w:pPr>
      <w:r>
        <w:rPr>
          <w:rFonts w:ascii="Calibri" w:cs="Calibri" w:eastAsia="Calibri" w:hAnsi="Calibri"/>
          <w:color w:val="2B2F36"/>
          <w:sz w:val="21"/>
          <w:szCs w:val="21"/>
        </w:rPr>
        <w:t xml:space="preserve">A companion Power BI dashboard (Customer_behaviour_Dashboard.pbix) was built on the cleaned customer_shopping table to give business stakeholders a self-serve, interactive view of the metrics covered in this report. The dashboard is designed to be filtered live by category, gender, age group, and season, and is intended to be refreshed on a recurring schedule as new transactions are loaded into the underlying MySQL database.</w:t>
      </w:r>
    </w:p>
    <w:p>
      <w:pPr>
        <w:spacing w:after="160" w:line="276"/>
      </w:pPr>
      <w:r>
        <w:rPr>
          <w:rFonts w:ascii="Calibri" w:cs="Calibri" w:eastAsia="Calibri" w:hAnsi="Calibri"/>
          <w:color w:val="2B2F36"/>
          <w:sz w:val="21"/>
          <w:szCs w:val="21"/>
        </w:rPr>
        <w:t xml:space="preserve">Recommended dashboard pages: (1) Executive Overview — the KPI set in Section 1; (2) Product Performance — category and item-level revenue, ratings, and discount penetration; (3) Customer Loyalty — subscription and segmentation views from Section 5; (4) Operations — shipping and seasonal trends from Section 7.</w:t>
      </w:r>
    </w:p>
    <w:p>
      <w:pPr>
        <w:pStyle w:val="Heading1"/>
        <w:pBdr>
          <w:bottom w:val="single" w:color="C9A227" w:sz="8" w:space="6"/>
        </w:pBdr>
        <w:spacing w:after="200" w:before="400"/>
      </w:pPr>
      <w:r>
        <w:rPr>
          <w:rFonts w:ascii="Calibri" w:cs="Calibri" w:eastAsia="Calibri" w:hAnsi="Calibri"/>
          <w:b/>
          <w:bCs/>
          <w:color w:val="13263F"/>
          <w:sz w:val="30"/>
          <w:szCs w:val="30"/>
        </w:rPr>
        <w:t xml:space="preserve">9. Recommendations</w:t>
      </w:r>
    </w:p>
    <w:p>
      <w:pPr>
        <w:spacing w:after="100" w:before="200"/>
      </w:pPr>
      <w:r>
        <w:rPr>
          <w:rFonts w:ascii="Calibri" w:cs="Calibri" w:eastAsia="Calibri" w:hAnsi="Calibri"/>
          <w:b/>
          <w:bCs/>
          <w:color w:val="8A6D1B"/>
          <w:sz w:val="22"/>
          <w:szCs w:val="22"/>
        </w:rPr>
        <w:t xml:space="preserve">9.1 Convert proven repeat buyers into subscribers</w:t>
      </w:r>
    </w:p>
    <w:p>
      <w:pPr>
        <w:spacing w:after="160" w:line="276"/>
      </w:pPr>
      <w:r>
        <w:rPr>
          <w:rFonts w:ascii="Calibri" w:cs="Calibri" w:eastAsia="Calibri" w:hAnsi="Calibri"/>
          <w:color w:val="2B2F36"/>
          <w:sz w:val="21"/>
          <w:szCs w:val="21"/>
        </w:rPr>
        <w:t xml:space="preserve">Over 2,500 customers with more than 5 previous purchases remain unsubscribed. A targeted campaign (e.g., a limited-time subscriber discount or free premium shipping) aimed specifically at this segment is likely to convert at a materially higher rate than a blanket campaign.</w:t>
      </w:r>
    </w:p>
    <w:p>
      <w:pPr>
        <w:spacing w:after="100" w:before="200"/>
      </w:pPr>
      <w:r>
        <w:rPr>
          <w:rFonts w:ascii="Calibri" w:cs="Calibri" w:eastAsia="Calibri" w:hAnsi="Calibri"/>
          <w:b/>
          <w:bCs/>
          <w:color w:val="8A6D1B"/>
          <w:sz w:val="22"/>
          <w:szCs w:val="22"/>
        </w:rPr>
        <w:t xml:space="preserve">9.2 Re-evaluate the subscription value proposition</w:t>
      </w:r>
    </w:p>
    <w:p>
      <w:pPr>
        <w:spacing w:after="160" w:line="276"/>
      </w:pPr>
      <w:r>
        <w:rPr>
          <w:rFonts w:ascii="Calibri" w:cs="Calibri" w:eastAsia="Calibri" w:hAnsi="Calibri"/>
          <w:color w:val="2B2F36"/>
          <w:sz w:val="21"/>
          <w:szCs w:val="21"/>
        </w:rPr>
        <w:t xml:space="preserve">Since subscribers do not currently spend more per order, the subscription program should be repositioned and measured around retention, purchase frequency, and lifetime value rather than basket size.</w:t>
      </w:r>
    </w:p>
    <w:p>
      <w:pPr>
        <w:spacing w:after="100" w:before="200"/>
      </w:pPr>
      <w:r>
        <w:rPr>
          <w:rFonts w:ascii="Calibri" w:cs="Calibri" w:eastAsia="Calibri" w:hAnsi="Calibri"/>
          <w:b/>
          <w:bCs/>
          <w:color w:val="8A6D1B"/>
          <w:sz w:val="22"/>
          <w:szCs w:val="22"/>
        </w:rPr>
        <w:t xml:space="preserve">9.3 Audit discount economics on high-penetration products</w:t>
      </w:r>
    </w:p>
    <w:p>
      <w:pPr>
        <w:spacing w:after="160" w:line="276"/>
      </w:pPr>
      <w:r>
        <w:rPr>
          <w:rFonts w:ascii="Calibri" w:cs="Calibri" w:eastAsia="Calibri" w:hAnsi="Calibri"/>
          <w:color w:val="2B2F36"/>
          <w:sz w:val="21"/>
          <w:szCs w:val="21"/>
        </w:rPr>
        <w:t xml:space="preserve">Hat, Sneakers, Coat, Sweater, and Pants are discounted in roughly half of all transactions. A controlled test (e.g., holding out a small population from discount eligibility) would clarify whether the discount is driving incremental purchases or simply reducing margin on sales that would occur regardless.</w:t>
      </w:r>
    </w:p>
    <w:p>
      <w:pPr>
        <w:spacing w:after="100" w:before="200"/>
      </w:pPr>
      <w:r>
        <w:rPr>
          <w:rFonts w:ascii="Calibri" w:cs="Calibri" w:eastAsia="Calibri" w:hAnsi="Calibri"/>
          <w:b/>
          <w:bCs/>
          <w:color w:val="8A6D1B"/>
          <w:sz w:val="22"/>
          <w:szCs w:val="22"/>
        </w:rPr>
        <w:t xml:space="preserve">9.4 Prioritize acquisition of female customers</w:t>
      </w:r>
    </w:p>
    <w:p>
      <w:pPr>
        <w:spacing w:after="160" w:line="276"/>
      </w:pPr>
      <w:r>
        <w:rPr>
          <w:rFonts w:ascii="Calibri" w:cs="Calibri" w:eastAsia="Calibri" w:hAnsi="Calibri"/>
          <w:color w:val="2B2F36"/>
          <w:sz w:val="21"/>
          <w:szCs w:val="21"/>
        </w:rPr>
        <w:t xml:space="preserve">Female customers spend at a comparable average order value to male customers but represent a smaller share of the base (32%). Acquisition marketing aimed at closing this gap has a clear, quantifiable revenue upside.</w:t>
      </w:r>
    </w:p>
    <w:p>
      <w:pPr>
        <w:spacing w:after="100" w:before="200"/>
      </w:pPr>
      <w:r>
        <w:rPr>
          <w:rFonts w:ascii="Calibri" w:cs="Calibri" w:eastAsia="Calibri" w:hAnsi="Calibri"/>
          <w:b/>
          <w:bCs/>
          <w:color w:val="8A6D1B"/>
          <w:sz w:val="22"/>
          <w:szCs w:val="22"/>
        </w:rPr>
        <w:t xml:space="preserve">9.5 Treat shipping tier as a service decision, not a revenue lever</w:t>
      </w:r>
    </w:p>
    <w:p>
      <w:pPr>
        <w:spacing w:after="160" w:line="276"/>
      </w:pPr>
      <w:r>
        <w:rPr>
          <w:rFonts w:ascii="Calibri" w:cs="Calibri" w:eastAsia="Calibri" w:hAnsi="Calibri"/>
          <w:color w:val="2B2F36"/>
          <w:sz w:val="21"/>
          <w:szCs w:val="21"/>
        </w:rPr>
        <w:t xml:space="preserve">Because order value does not vary meaningfully by shipping method, shipping options should be optimized purely for cost-to-serve and customer satisfaction rather than expected to influence basket size.</w:t>
      </w:r>
    </w:p>
    <w:p>
      <w:pPr>
        <w:pStyle w:val="Heading1"/>
        <w:pBdr>
          <w:bottom w:val="single" w:color="C9A227" w:sz="8" w:space="6"/>
        </w:pBdr>
        <w:spacing w:after="200" w:before="400"/>
      </w:pPr>
      <w:r>
        <w:rPr>
          <w:rFonts w:ascii="Calibri" w:cs="Calibri" w:eastAsia="Calibri" w:hAnsi="Calibri"/>
          <w:b/>
          <w:bCs/>
          <w:color w:val="13263F"/>
          <w:sz w:val="30"/>
          <w:szCs w:val="30"/>
        </w:rPr>
        <w:t xml:space="preserve">10. Conclusion</w:t>
      </w:r>
    </w:p>
    <w:p>
      <w:pPr>
        <w:spacing w:after="160" w:line="276"/>
      </w:pPr>
      <w:r>
        <w:rPr>
          <w:rFonts w:ascii="Calibri" w:cs="Calibri" w:eastAsia="Calibri" w:hAnsi="Calibri"/>
          <w:color w:val="2B2F36"/>
          <w:sz w:val="21"/>
          <w:szCs w:val="21"/>
        </w:rPr>
        <w:t xml:space="preserve">This analysis shows a mature, loyalty-heavy customer base generating balanced revenue across categories, demographics, seasons, and geographies — with no single dimension dominating performance. The most actionable finding is the disconnect between purchase frequency and subscription enrollment: a large, already-loyal customer segment represents the clearest, lowest-risk opportunity to grow recurring revenue. The accompanying Power BI dashboard should be adopted as the ongoing monitoring tool to track progress against the recommendations above.</w:t>
      </w:r>
    </w:p>
    <w:p>
      <w:r>
        <w:br w:type="page"/>
      </w:r>
    </w:p>
    <w:p>
      <w:pPr>
        <w:pStyle w:val="Heading1"/>
        <w:pBdr>
          <w:bottom w:val="single" w:color="C9A227" w:sz="8" w:space="6"/>
        </w:pBdr>
        <w:spacing w:after="200" w:before="400"/>
      </w:pPr>
      <w:r>
        <w:rPr>
          <w:rFonts w:ascii="Calibri" w:cs="Calibri" w:eastAsia="Calibri" w:hAnsi="Calibri"/>
          <w:b/>
          <w:bCs/>
          <w:color w:val="13263F"/>
          <w:sz w:val="30"/>
          <w:szCs w:val="30"/>
        </w:rPr>
        <w:t xml:space="preserve">Appendix A — Business Questions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t>
            </w:r>
          </w:p>
        </w:tc>
        <w:tc>
          <w:tcPr>
            <w:tcW w:type="dxa" w:w="846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Business Question</w:t>
            </w:r>
          </w:p>
        </w:tc>
      </w:tr>
      <w:tr>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Q1</w:t>
            </w:r>
          </w:p>
        </w:tc>
        <w:tc>
          <w:tcPr>
            <w:tcW w:type="dxa" w:w="84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Which discounted orders exceeded the average purchase amount?</w:t>
            </w:r>
          </w:p>
        </w:tc>
      </w:tr>
      <w:tr>
        <w:tc>
          <w:tcPr>
            <w:tcW w:type="dxa" w:w="9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Q2</w:t>
            </w:r>
          </w:p>
        </w:tc>
        <w:tc>
          <w:tcPr>
            <w:tcW w:type="dxa" w:w="84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What is total revenue by gender?</w:t>
            </w:r>
          </w:p>
        </w:tc>
      </w:tr>
      <w:tr>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Q3</w:t>
            </w:r>
          </w:p>
        </w:tc>
        <w:tc>
          <w:tcPr>
            <w:tcW w:type="dxa" w:w="84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Which are the top 5 products with the highest average review rating?</w:t>
            </w:r>
          </w:p>
        </w:tc>
      </w:tr>
      <w:tr>
        <w:tc>
          <w:tcPr>
            <w:tcW w:type="dxa" w:w="9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Q4</w:t>
            </w:r>
          </w:p>
        </w:tc>
        <w:tc>
          <w:tcPr>
            <w:tcW w:type="dxa" w:w="84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Compare average purchase amount between shipping types.</w:t>
            </w:r>
          </w:p>
        </w:tc>
      </w:tr>
      <w:tr>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Q5</w:t>
            </w:r>
          </w:p>
        </w:tc>
        <w:tc>
          <w:tcPr>
            <w:tcW w:type="dxa" w:w="84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Do subscribed customers spend more than non-subscribers?</w:t>
            </w:r>
          </w:p>
        </w:tc>
      </w:tr>
      <w:tr>
        <w:tc>
          <w:tcPr>
            <w:tcW w:type="dxa" w:w="9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Q6</w:t>
            </w:r>
          </w:p>
        </w:tc>
        <w:tc>
          <w:tcPr>
            <w:tcW w:type="dxa" w:w="84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Which 5 products have the highest percentage of discounted purchases?</w:t>
            </w:r>
          </w:p>
        </w:tc>
      </w:tr>
      <w:tr>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Q7</w:t>
            </w:r>
          </w:p>
        </w:tc>
        <w:tc>
          <w:tcPr>
            <w:tcW w:type="dxa" w:w="84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Segment customers into New, Returning, and Loyal tiers.</w:t>
            </w:r>
          </w:p>
        </w:tc>
      </w:tr>
      <w:tr>
        <w:tc>
          <w:tcPr>
            <w:tcW w:type="dxa" w:w="9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Q8</w:t>
            </w:r>
          </w:p>
        </w:tc>
        <w:tc>
          <w:tcPr>
            <w:tcW w:type="dxa" w:w="84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What are the top 3 most purchased products within each category?</w:t>
            </w:r>
          </w:p>
        </w:tc>
      </w:tr>
      <w:tr>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Q9</w:t>
            </w:r>
          </w:p>
        </w:tc>
        <w:tc>
          <w:tcPr>
            <w:tcW w:type="dxa" w:w="84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Are repeat buyers (&gt;5 previous purchases) more likely to subscribe?</w:t>
            </w:r>
          </w:p>
        </w:tc>
      </w:tr>
      <w:tr>
        <w:tc>
          <w:tcPr>
            <w:tcW w:type="dxa" w:w="9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Q10</w:t>
            </w:r>
          </w:p>
        </w:tc>
        <w:tc>
          <w:tcPr>
            <w:tcW w:type="dxa" w:w="84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What is the revenue contribution of each age group?</w:t>
            </w:r>
          </w:p>
        </w:tc>
      </w:tr>
    </w:tbl>
    <w:p>
      <w:pPr>
        <w:spacing w:after="200"/>
      </w:pPr>
    </w:p>
    <w:p>
      <w:pPr>
        <w:pStyle w:val="Heading1"/>
        <w:pBdr>
          <w:bottom w:val="single" w:color="C9A227" w:sz="8" w:space="6"/>
        </w:pBdr>
        <w:spacing w:after="200" w:before="400"/>
      </w:pPr>
      <w:r>
        <w:rPr>
          <w:rFonts w:ascii="Calibri" w:cs="Calibri" w:eastAsia="Calibri" w:hAnsi="Calibri"/>
          <w:b/>
          <w:bCs/>
          <w:color w:val="13263F"/>
          <w:sz w:val="30"/>
          <w:szCs w:val="30"/>
        </w:rPr>
        <w:t xml:space="preserve">Appendix B — Data Dictionary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Field</w:t>
            </w:r>
          </w:p>
        </w:tc>
        <w:tc>
          <w:tcPr>
            <w:tcW w:type="dxa" w:w="6760"/>
            <w:shd w:fill="1F3A5F"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Description</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customer_id</w:t>
            </w:r>
          </w:p>
        </w:tc>
        <w:tc>
          <w:tcPr>
            <w:tcW w:type="dxa" w:w="67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Unique transaction / customer identifier</w:t>
            </w:r>
          </w:p>
        </w:tc>
      </w:tr>
      <w:tr>
        <w:tc>
          <w:tcPr>
            <w:tcW w:type="dxa" w:w="26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age / age_group</w:t>
            </w:r>
          </w:p>
        </w:tc>
        <w:tc>
          <w:tcPr>
            <w:tcW w:type="dxa" w:w="67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Customer age, and derived quartile-based age segment</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category / item_purchased</w:t>
            </w:r>
          </w:p>
        </w:tc>
        <w:tc>
          <w:tcPr>
            <w:tcW w:type="dxa" w:w="67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Product category and specific item</w:t>
            </w:r>
          </w:p>
        </w:tc>
      </w:tr>
      <w:tr>
        <w:tc>
          <w:tcPr>
            <w:tcW w:type="dxa" w:w="26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purchase_amount</w:t>
            </w:r>
          </w:p>
        </w:tc>
        <w:tc>
          <w:tcPr>
            <w:tcW w:type="dxa" w:w="67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Transaction value in USD</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discount_applied</w:t>
            </w:r>
          </w:p>
        </w:tc>
        <w:tc>
          <w:tcPr>
            <w:tcW w:type="dxa" w:w="67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Whether a discount was applied to the order</w:t>
            </w:r>
          </w:p>
        </w:tc>
      </w:tr>
      <w:tr>
        <w:tc>
          <w:tcPr>
            <w:tcW w:type="dxa" w:w="26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subscription_status</w:t>
            </w:r>
          </w:p>
        </w:tc>
        <w:tc>
          <w:tcPr>
            <w:tcW w:type="dxa" w:w="67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Whether the customer is enrolled in the subscription program</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previous_purchases</w:t>
            </w:r>
          </w:p>
        </w:tc>
        <w:tc>
          <w:tcPr>
            <w:tcW w:type="dxa" w:w="67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Count of prior purchases by the customer</w:t>
            </w:r>
          </w:p>
        </w:tc>
      </w:tr>
      <w:tr>
        <w:tc>
          <w:tcPr>
            <w:tcW w:type="dxa" w:w="2600"/>
            <w:shd w:fill="F6F8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frequency_of_purchases / frequency_purchase_days</w:t>
            </w:r>
          </w:p>
        </w:tc>
        <w:tc>
          <w:tcPr>
            <w:tcW w:type="dxa" w:w="6760"/>
            <w:shd w:fill="F6F8FA"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Stated purchase cadence, and derived day-count equivalent</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B2F36"/>
                <w:sz w:val="19"/>
                <w:szCs w:val="19"/>
              </w:rPr>
              <w:t xml:space="preserve">review_rating</w:t>
            </w:r>
          </w:p>
        </w:tc>
        <w:tc>
          <w:tcPr>
            <w:tcW w:type="dxa" w:w="676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B2F36"/>
                <w:sz w:val="19"/>
                <w:szCs w:val="19"/>
              </w:rPr>
              <w:t xml:space="preserve">Customer product rating (1–5 scale)</w:t>
            </w:r>
          </w:p>
        </w:tc>
      </w:tr>
    </w:tbl>
    <w:p>
      <w:r>
        <w:br w:type="page"/>
      </w:r>
    </w:p>
    <w:p>
      <w:pPr>
        <w:pStyle w:val="Heading1"/>
        <w:pBdr>
          <w:bottom w:val="single" w:color="C9A227" w:sz="8" w:space="6"/>
        </w:pBdr>
        <w:spacing w:after="200" w:before="400"/>
      </w:pPr>
      <w:r>
        <w:rPr>
          <w:rFonts w:ascii="Calibri" w:cs="Calibri" w:eastAsia="Calibri" w:hAnsi="Calibri"/>
          <w:b/>
          <w:bCs/>
          <w:color w:val="13263F"/>
          <w:sz w:val="30"/>
          <w:szCs w:val="30"/>
        </w:rPr>
        <w:t xml:space="preserve">Appendix C — Python Data Cleaning &amp; Feature Engineering</w:t>
      </w:r>
    </w:p>
    <w:p>
      <w:pPr>
        <w:spacing w:after="160" w:line="276"/>
      </w:pPr>
      <w:r>
        <w:rPr>
          <w:rFonts w:ascii="Calibri" w:cs="Calibri" w:eastAsia="Calibri" w:hAnsi="Calibri"/>
          <w:color w:val="2B2F36"/>
          <w:sz w:val="21"/>
          <w:szCs w:val="21"/>
        </w:rPr>
        <w:t xml:space="preserve">The script below reflects the actual cleaning pipeline used on the raw dataset in Jupyter Notebook, from initial load through to loading the cleaned table into MySQL via SQLAlchemy.</w:t>
      </w:r>
    </w:p>
    <w:p>
      <w:pPr>
        <w:spacing w:after="60" w:before="220"/>
      </w:pPr>
      <w:r>
        <w:rPr>
          <w:rFonts w:ascii="Calibri" w:cs="Calibri" w:eastAsia="Calibri" w:hAnsi="Calibri"/>
          <w:b/>
          <w:bCs/>
          <w:i/>
          <w:iCs/>
          <w:color w:val="1F3A5F"/>
          <w:sz w:val="18"/>
          <w:szCs w:val="18"/>
        </w:rPr>
        <w:t xml:space="preserve">1. Load the raw dataset</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import pandas as pd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 = pd.read_csv("customer_shopping_behavior.csv")</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df.shape        # (3900, 18)</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df.info()</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df.describe()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df.isnull().sum()</w:t>
      </w:r>
    </w:p>
    <w:p>
      <w:pPr>
        <w:spacing w:after="60" w:before="220"/>
      </w:pPr>
      <w:r>
        <w:rPr>
          <w:rFonts w:ascii="Calibri" w:cs="Calibri" w:eastAsia="Calibri" w:hAnsi="Calibri"/>
          <w:b/>
          <w:bCs/>
          <w:i/>
          <w:iCs/>
          <w:color w:val="1F3A5F"/>
          <w:sz w:val="18"/>
          <w:szCs w:val="18"/>
        </w:rPr>
        <w:t xml:space="preserve">2. Handle missing values (category-aware, not a blanket median)</w:t>
      </w:r>
    </w:p>
    <w:p>
      <w:pPr>
        <w:pBdr>
          <w:left w:val="single" w:color="C9A227" w:sz="20" w:space="10"/>
        </w:pBdr>
        <w:shd w:fill="1E2A38" w:color="auto" w:val="clear"/>
        <w:spacing w:after="0" w:before="0" w:line="250"/>
      </w:pPr>
      <w:r>
        <w:rPr>
          <w:rFonts w:ascii="Consolas" w:cs="Consolas" w:eastAsia="Consolas" w:hAnsi="Consolas"/>
          <w:color w:val="8FB6D9"/>
          <w:sz w:val="17"/>
          <w:szCs w:val="17"/>
        </w:rPr>
        <w:t xml:space="preserve"># Review Rating is tied to product category, so impute using the</w:t>
      </w:r>
    </w:p>
    <w:p>
      <w:pPr>
        <w:pBdr>
          <w:left w:val="single" w:color="C9A227" w:sz="20" w:space="10"/>
        </w:pBdr>
        <w:shd w:fill="1E2A38" w:color="auto" w:val="clear"/>
        <w:spacing w:after="0" w:before="0" w:line="250"/>
      </w:pPr>
      <w:r>
        <w:rPr>
          <w:rFonts w:ascii="Consolas" w:cs="Consolas" w:eastAsia="Consolas" w:hAnsi="Consolas"/>
          <w:color w:val="8FB6D9"/>
          <w:sz w:val="17"/>
          <w:szCs w:val="17"/>
        </w:rPr>
        <w:t xml:space="preserve"># median rating *within* each category rather than a single global median</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df['Review Rating'] = (</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df.groupby('Category')['Review Rating']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.transform(lambda x: x.fillna(x.median()))</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t>
      </w:r>
    </w:p>
    <w:p>
      <w:pPr>
        <w:spacing w:after="60" w:before="220"/>
      </w:pPr>
      <w:r>
        <w:rPr>
          <w:rFonts w:ascii="Calibri" w:cs="Calibri" w:eastAsia="Calibri" w:hAnsi="Calibri"/>
          <w:b/>
          <w:bCs/>
          <w:i/>
          <w:iCs/>
          <w:color w:val="1F3A5F"/>
          <w:sz w:val="18"/>
          <w:szCs w:val="18"/>
        </w:rPr>
        <w:t xml:space="preserve">3. Standardize column names for SQL compatibility</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df.columns = df.columns.str.lower()</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df.columns = df.columns.str.replace(' ', '_')</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 = df.rename(columns={'purchase_amount_(usd)': 'purchase_amount'})</w:t>
      </w:r>
    </w:p>
    <w:p>
      <w:pPr>
        <w:spacing w:after="60" w:before="220"/>
      </w:pPr>
      <w:r>
        <w:rPr>
          <w:rFonts w:ascii="Calibri" w:cs="Calibri" w:eastAsia="Calibri" w:hAnsi="Calibri"/>
          <w:b/>
          <w:bCs/>
          <w:i/>
          <w:iCs/>
          <w:color w:val="1F3A5F"/>
          <w:sz w:val="18"/>
          <w:szCs w:val="18"/>
        </w:rPr>
        <w:t xml:space="preserve">4. Feature engineering — age segments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labels = ['Young Adults', 'Adults', 'Middle Aged', 'Senior']</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df['age_group'] = pd.qcut(df['age'], q=4, labels=labels)</w:t>
      </w:r>
    </w:p>
    <w:p>
      <w:pPr>
        <w:spacing w:after="60" w:before="220"/>
      </w:pPr>
      <w:r>
        <w:rPr>
          <w:rFonts w:ascii="Calibri" w:cs="Calibri" w:eastAsia="Calibri" w:hAnsi="Calibri"/>
          <w:b/>
          <w:bCs/>
          <w:i/>
          <w:iCs/>
          <w:color w:val="1F3A5F"/>
          <w:sz w:val="18"/>
          <w:szCs w:val="18"/>
        </w:rPr>
        <w:t xml:space="preserve">5. Feature engineering — purchase frequency to day-count</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frequency_mapping = {</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'Fortnightly': 14,</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'Weekly': 7,</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'Monthly': 30,</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'Bi-Weekly': 14,</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'Quarterly': 90,</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'Annually': 365,</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'Every 3 Months': 90</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df['frequency_purchase_days'] = df['frequency_of_purchases'].map(frequency_mapping)</w:t>
      </w:r>
    </w:p>
    <w:p>
      <w:pPr>
        <w:spacing w:after="60" w:before="220"/>
      </w:pPr>
      <w:r>
        <w:rPr>
          <w:rFonts w:ascii="Calibri" w:cs="Calibri" w:eastAsia="Calibri" w:hAnsi="Calibri"/>
          <w:b/>
          <w:bCs/>
          <w:i/>
          <w:iCs/>
          <w:color w:val="1F3A5F"/>
          <w:sz w:val="18"/>
          <w:szCs w:val="18"/>
        </w:rPr>
        <w:t xml:space="preserve">6. Remove redundant columns</w:t>
      </w:r>
    </w:p>
    <w:p>
      <w:pPr>
        <w:pBdr>
          <w:left w:val="single" w:color="C9A227" w:sz="20" w:space="10"/>
        </w:pBdr>
        <w:shd w:fill="1E2A38" w:color="auto" w:val="clear"/>
        <w:spacing w:after="0" w:before="0" w:line="250"/>
      </w:pPr>
      <w:r>
        <w:rPr>
          <w:rFonts w:ascii="Consolas" w:cs="Consolas" w:eastAsia="Consolas" w:hAnsi="Consolas"/>
          <w:color w:val="8FB6D9"/>
          <w:sz w:val="17"/>
          <w:szCs w:val="17"/>
        </w:rPr>
        <w:t xml:space="preserve"># discount_applied and promo_code_used are identical in every row</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(df['discount_applied'] == df['promo_code_used']).all()   # True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 = df.drop('promo_code_used', axis=1)</w:t>
      </w:r>
    </w:p>
    <w:p>
      <w:pPr>
        <w:spacing w:after="60" w:before="220"/>
      </w:pPr>
      <w:r>
        <w:rPr>
          <w:rFonts w:ascii="Calibri" w:cs="Calibri" w:eastAsia="Calibri" w:hAnsi="Calibri"/>
          <w:b/>
          <w:bCs/>
          <w:i/>
          <w:iCs/>
          <w:color w:val="1F3A5F"/>
          <w:sz w:val="18"/>
          <w:szCs w:val="18"/>
        </w:rPr>
        <w:t xml:space="preserve">7. Load cleaned data into MySQL</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sqlalchemy import create_engine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engine = create_engine("mysql+pymysql://&lt;user&gt;:&lt;password&gt;@localhost/customer_behaviour")</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df.to_sql(</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name="customer_shopping",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con=engine,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if_exists="replace",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index=False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t>
      </w:r>
    </w:p>
    <w:p>
      <w:pPr>
        <w:spacing w:after="200"/>
      </w:pPr>
    </w:p>
    <w:p>
      <w:r>
        <w:br w:type="page"/>
      </w:r>
    </w:p>
    <w:p>
      <w:pPr>
        <w:pStyle w:val="Heading1"/>
        <w:pBdr>
          <w:bottom w:val="single" w:color="C9A227" w:sz="8" w:space="6"/>
        </w:pBdr>
        <w:spacing w:after="200" w:before="400"/>
      </w:pPr>
      <w:r>
        <w:rPr>
          <w:rFonts w:ascii="Calibri" w:cs="Calibri" w:eastAsia="Calibri" w:hAnsi="Calibri"/>
          <w:b/>
          <w:bCs/>
          <w:color w:val="13263F"/>
          <w:sz w:val="30"/>
          <w:szCs w:val="30"/>
        </w:rPr>
        <w:t xml:space="preserve">Appendix D — SQL Analysis Queries</w:t>
      </w:r>
    </w:p>
    <w:p>
      <w:pPr>
        <w:spacing w:after="160" w:line="276"/>
      </w:pPr>
      <w:r>
        <w:rPr>
          <w:rFonts w:ascii="Calibri" w:cs="Calibri" w:eastAsia="Calibri" w:hAnsi="Calibri"/>
          <w:color w:val="2B2F36"/>
          <w:sz w:val="21"/>
          <w:szCs w:val="21"/>
        </w:rPr>
        <w:t xml:space="preserve">The following queries were run against the customer_behaviour MySQL database to answer the ten business questions defined in Section 2, using aggregation, CASE logic, subqueries, CTEs, and window functions.</w:t>
      </w:r>
    </w:p>
    <w:p>
      <w:pPr>
        <w:spacing w:after="60" w:before="220"/>
      </w:pPr>
      <w:r>
        <w:rPr>
          <w:rFonts w:ascii="Calibri" w:cs="Calibri" w:eastAsia="Calibri" w:hAnsi="Calibri"/>
          <w:b/>
          <w:bCs/>
          <w:i/>
          <w:iCs/>
          <w:color w:val="1F3A5F"/>
          <w:sz w:val="18"/>
          <w:szCs w:val="18"/>
        </w:rPr>
        <w:t xml:space="preserve">Q1 — Discounted orders above the average purchase amount</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 customer_id, purchase_amount, discount_applied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WHERE discount_applied = "Yes"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AND purchase_amount &gt;= (</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SELECT AVG(purchase_amount) 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w:t>
      </w:r>
    </w:p>
    <w:p>
      <w:pPr>
        <w:spacing w:after="60" w:before="220"/>
      </w:pPr>
      <w:r>
        <w:rPr>
          <w:rFonts w:ascii="Calibri" w:cs="Calibri" w:eastAsia="Calibri" w:hAnsi="Calibri"/>
          <w:b/>
          <w:bCs/>
          <w:i/>
          <w:iCs/>
          <w:color w:val="1F3A5F"/>
          <w:sz w:val="18"/>
          <w:szCs w:val="18"/>
        </w:rPr>
        <w:t xml:space="preserve">Q2 — Total revenue by gender</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 gender, SUM(purchase_amount) AS revenue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GROUP BY gender;</w:t>
      </w:r>
    </w:p>
    <w:p>
      <w:pPr>
        <w:spacing w:after="60" w:before="220"/>
      </w:pPr>
      <w:r>
        <w:rPr>
          <w:rFonts w:ascii="Calibri" w:cs="Calibri" w:eastAsia="Calibri" w:hAnsi="Calibri"/>
          <w:b/>
          <w:bCs/>
          <w:i/>
          <w:iCs/>
          <w:color w:val="1F3A5F"/>
          <w:sz w:val="18"/>
          <w:szCs w:val="18"/>
        </w:rPr>
        <w:t xml:space="preserve">Q3 — Top 5 products by average review rating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 item_purchased, ROUND(AVG(review_rating), 2) AS avg_rating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GROUP BY item_purchased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ORDER BY avg_rating DESC</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LIMIT 5;</w:t>
      </w:r>
    </w:p>
    <w:p>
      <w:pPr>
        <w:spacing w:after="60" w:before="220"/>
      </w:pPr>
      <w:r>
        <w:rPr>
          <w:rFonts w:ascii="Calibri" w:cs="Calibri" w:eastAsia="Calibri" w:hAnsi="Calibri"/>
          <w:b/>
          <w:bCs/>
          <w:i/>
          <w:iCs/>
          <w:color w:val="1F3A5F"/>
          <w:sz w:val="18"/>
          <w:szCs w:val="18"/>
        </w:rPr>
        <w:t xml:space="preserve">Q4 — Average purchase amount by shipping type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 shipping_type, ROUND(AVG(purchase_amount), 2) AS avg_purchase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GROUP BY shipping_type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ORDER BY avg_purchase DESC;</w:t>
      </w:r>
    </w:p>
    <w:p>
      <w:pPr>
        <w:spacing w:after="60" w:before="220"/>
      </w:pPr>
      <w:r>
        <w:rPr>
          <w:rFonts w:ascii="Calibri" w:cs="Calibri" w:eastAsia="Calibri" w:hAnsi="Calibri"/>
          <w:b/>
          <w:bCs/>
          <w:i/>
          <w:iCs/>
          <w:color w:val="1F3A5F"/>
          <w:sz w:val="18"/>
          <w:szCs w:val="18"/>
        </w:rPr>
        <w:t xml:space="preserve">Q5 — Subscribers vs. non-subscribers: spend comparison</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subscription_status,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COUNT(customer_id)            AS total_customers,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ROUND(AVG(purchase_amount),2) AS avg_purchase,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SUM(purchase_amount)          AS total_purchase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GROUP BY subscription_status;</w:t>
      </w:r>
    </w:p>
    <w:p>
      <w:pPr>
        <w:spacing w:after="60" w:before="220"/>
      </w:pPr>
      <w:r>
        <w:rPr>
          <w:rFonts w:ascii="Calibri" w:cs="Calibri" w:eastAsia="Calibri" w:hAnsi="Calibri"/>
          <w:b/>
          <w:bCs/>
          <w:i/>
          <w:iCs/>
          <w:color w:val="1F3A5F"/>
          <w:sz w:val="18"/>
          <w:szCs w:val="18"/>
        </w:rPr>
        <w:t xml:space="preserve">Q6 — Top 5 products by % of orders discounted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item_purchased,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ROUND(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SUM(CASE WHEN discount_applied = "Yes" THEN 1 ELSE 0 END)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 COUNT(*) * 100, 2</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 AS discount_percentage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GROUP BY item_purchased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ORDER BY discount_percentage DESC</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LIMIT 5;</w:t>
      </w:r>
    </w:p>
    <w:p>
      <w:pPr>
        <w:spacing w:after="60" w:before="220"/>
      </w:pPr>
      <w:r>
        <w:rPr>
          <w:rFonts w:ascii="Calibri" w:cs="Calibri" w:eastAsia="Calibri" w:hAnsi="Calibri"/>
          <w:b/>
          <w:bCs/>
          <w:i/>
          <w:iCs/>
          <w:color w:val="1F3A5F"/>
          <w:sz w:val="18"/>
          <w:szCs w:val="18"/>
        </w:rPr>
        <w:t xml:space="preserve">Q7 — Customer segmentation (New / Returning / Loyal)</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WITH customer_type AS (</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SELECT</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customer_id,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previous_purchases,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CASE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WHEN previous_purchases &lt;= 2            THEN 'New'</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WHEN previous_purchases BETWEEN 3 AND 10 THEN 'Returning'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ELSE 'Loyal'</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END AS customer_segment</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 customer_segment, COUNT(*) AS number_of_customers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customer_type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GROUP BY customer_segment;</w:t>
      </w:r>
    </w:p>
    <w:p>
      <w:pPr>
        <w:spacing w:after="60" w:before="220"/>
      </w:pPr>
      <w:r>
        <w:rPr>
          <w:rFonts w:ascii="Calibri" w:cs="Calibri" w:eastAsia="Calibri" w:hAnsi="Calibri"/>
          <w:b/>
          <w:bCs/>
          <w:i/>
          <w:iCs/>
          <w:color w:val="1F3A5F"/>
          <w:sz w:val="18"/>
          <w:szCs w:val="18"/>
        </w:rPr>
        <w:t xml:space="preserve">Q8 — Top 3 most purchased products within each category</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WITH item_counts AS (</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SELECT</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category,</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item_purchased,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COUNT(customer_id) AS total_orders,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ROW_NUMBER() OVER (</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PARTITION BY category</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ORDER BY COUNT(customer_id) DESC</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 AS item_rank</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    GROUP BY category, item_purchased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 item_rank, category, item_purchased, total_orders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item_counts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WHERE item_rank &lt;= 3;</w:t>
      </w:r>
    </w:p>
    <w:p>
      <w:pPr>
        <w:spacing w:after="60" w:before="220"/>
      </w:pPr>
      <w:r>
        <w:rPr>
          <w:rFonts w:ascii="Calibri" w:cs="Calibri" w:eastAsia="Calibri" w:hAnsi="Calibri"/>
          <w:b/>
          <w:bCs/>
          <w:i/>
          <w:iCs/>
          <w:color w:val="1F3A5F"/>
          <w:sz w:val="18"/>
          <w:szCs w:val="18"/>
        </w:rPr>
        <w:t xml:space="preserve">Q9 — Repeat buyers (&gt;5 previous purchases): subscription likelihood</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 subscription_status, COUNT(customer_id) AS repeat_buyers</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WHERE previous_purchases &gt; 5</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GROUP BY subscription_status;</w:t>
      </w:r>
    </w:p>
    <w:p>
      <w:pPr>
        <w:spacing w:after="60" w:before="220"/>
      </w:pPr>
      <w:r>
        <w:rPr>
          <w:rFonts w:ascii="Calibri" w:cs="Calibri" w:eastAsia="Calibri" w:hAnsi="Calibri"/>
          <w:b/>
          <w:bCs/>
          <w:i/>
          <w:iCs/>
          <w:color w:val="1F3A5F"/>
          <w:sz w:val="18"/>
          <w:szCs w:val="18"/>
        </w:rPr>
        <w:t xml:space="preserve">Q10 — Revenue contribution by age group</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SELECT age_group, SUM(purchase_amount) AS total_revenue</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FROM customer_shopping</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GROUP BY age_group</w:t>
      </w:r>
    </w:p>
    <w:p>
      <w:pPr>
        <w:pBdr>
          <w:left w:val="single" w:color="C9A227" w:sz="20" w:space="10"/>
        </w:pBdr>
        <w:shd w:fill="1E2A38" w:color="auto" w:val="clear"/>
        <w:spacing w:after="0" w:before="0" w:line="250"/>
      </w:pPr>
      <w:r>
        <w:rPr>
          <w:rFonts w:ascii="Consolas" w:cs="Consolas" w:eastAsia="Consolas" w:hAnsi="Consolas"/>
          <w:color w:val="E8EEF5"/>
          <w:sz w:val="17"/>
          <w:szCs w:val="17"/>
        </w:rPr>
        <w:t xml:space="preserve">ORDER BY total_revenue DESC;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C"/>
        <w:sz w:val="16"/>
        <w:szCs w:val="16"/>
      </w:rPr>
      <w:t xml:space="preserve">Page </w:t>
    </w:r>
    <w:r>
      <w:rPr>
        <w:rFonts w:ascii="Calibri" w:cs="Calibri" w:eastAsia="Calibri" w:hAnsi="Calibri"/>
        <w:color w:val="5B6B7C"/>
        <w:sz w:val="16"/>
        <w:szCs w:val="16"/>
      </w:rPr>
      <w:fldChar w:fldCharType="begin"/>
      <w:instrText xml:space="preserve">PAGE</w:instrText>
      <w:fldChar w:fldCharType="separate"/>
      <w:fldChar w:fldCharType="end"/>
    </w:r>
    <w:r>
      <w:rPr>
        <w:rFonts w:ascii="Calibri" w:cs="Calibri" w:eastAsia="Calibri" w:hAnsi="Calibri"/>
        <w:color w:val="5B6B7C"/>
        <w:sz w:val="16"/>
        <w:szCs w:val="16"/>
      </w:rPr>
      <w:t xml:space="preserve"> of </w:t>
    </w:r>
    <w:r>
      <w:rPr>
        <w:rFonts w:ascii="Calibri" w:cs="Calibri" w:eastAsia="Calibri" w:hAnsi="Calibri"/>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B6B7C"/>
        <w:sz w:val="16"/>
        <w:szCs w:val="16"/>
      </w:rPr>
      <w:t xml:space="preserve">Customer Shopping Behavior — Analytics Report</w:t>
    </w:r>
    <w:r>
      <w:rPr>
        <w:rFonts w:ascii="Calibri" w:cs="Calibri" w:eastAsia="Calibri" w:hAnsi="Calibri"/>
      </w:rPr>
      <w:t xml:space="preserve">	</w:t>
    </w:r>
    <w:r>
      <w:rPr>
        <w:rFonts w:ascii="Calibri" w:cs="Calibri" w:eastAsia="Calibri" w:hAnsi="Calibri"/>
        <w:color w:val="5B6B7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93504ad0045ff661a733a97f323237d6fa208c.png"/><Relationship Id="rId10" Type="http://schemas.openxmlformats.org/officeDocument/2006/relationships/image" Target="media/105eecc5e05f1360f8572c757b5bcb8a2d9bff3d.png"/><Relationship Id="rId11" Type="http://schemas.openxmlformats.org/officeDocument/2006/relationships/image" Target="media/fd13b74ecd02150fdb603a64f98a7dc7a5cd13a4.png"/><Relationship Id="rId12" Type="http://schemas.openxmlformats.org/officeDocument/2006/relationships/image" Target="media/3a0df7d204e5ce9f5c08dc176315af9f12137f28.png"/><Relationship Id="rId13" Type="http://schemas.openxmlformats.org/officeDocument/2006/relationships/image" Target="media/ba061ea8006bd14fd62e983fac2a6caea37f4408.png"/><Relationship Id="rId14" Type="http://schemas.openxmlformats.org/officeDocument/2006/relationships/image" Target="media/5c84c20c3c45b275c80ef3475f50f59039c2d97f.png"/><Relationship Id="rId15" Type="http://schemas.openxmlformats.org/officeDocument/2006/relationships/image" Target="media/3fdd68c75429d58a0f076fe9f2fa1cd55222db1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2026-07-23T08:28:35.756Z</dcterms:created>
  <dcterms:modified xsi:type="dcterms:W3CDTF">2026-07-23T08:28:35.756Z</dcterms:modified>
</cp:coreProperties>
</file>

<file path=docProps/custom.xml><?xml version="1.0" encoding="utf-8"?>
<Properties xmlns="http://schemas.openxmlformats.org/officeDocument/2006/custom-properties" xmlns:vt="http://schemas.openxmlformats.org/officeDocument/2006/docPropsVTypes"/>
</file>