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Aptos" w:hAnsi="Aptos"/>
          <w:b/>
          <w:color w:val="4338CA"/>
          <w:sz w:val="20"/>
        </w:rPr>
        <w:t>OPERATING COST PLAN</w:t>
      </w:r>
    </w:p>
    <w:p>
      <w:pPr>
        <w:spacing w:after="120"/>
      </w:pPr>
      <w:r>
        <w:rPr>
          <w:rFonts w:ascii="Aptos Display" w:hAnsi="Aptos Display"/>
          <w:b/>
          <w:color w:val="242057"/>
          <w:sz w:val="56"/>
        </w:rPr>
        <w:t>Estimated External Service Cost</w:t>
        <w:br/>
        <w:t>of Running Snatchi</w:t>
      </w:r>
    </w:p>
    <w:p>
      <w:pPr>
        <w:spacing w:after="320"/>
        <w:pBdr>
          <w:bottom w:val="single" w:sz="18" w:space="6" w:color="4338CA"/>
        </w:pBdr>
      </w:pPr>
      <w:r>
        <w:rPr>
          <w:rFonts w:ascii="Aptos" w:hAnsi="Aptos"/>
          <w:b w:val="0"/>
          <w:color w:val="66637A"/>
          <w:sz w:val="26"/>
        </w:rPr>
        <w:t>Web platform + iOS and Android engineer application</w:t>
      </w:r>
    </w:p>
    <w:p>
      <w:pPr>
        <w:spacing w:after="40"/>
      </w:pPr>
      <w:r>
        <w:rPr>
          <w:rFonts w:ascii="Aptos" w:hAnsi="Aptos"/>
          <w:b/>
          <w:color w:val="4338CA"/>
          <w:sz w:val="19"/>
        </w:rPr>
        <w:t xml:space="preserve">PREPARED FOR  </w:t>
      </w:r>
      <w:r>
        <w:rPr>
          <w:rFonts w:ascii="Aptos" w:hAnsi="Aptos"/>
          <w:b w:val="0"/>
          <w:color w:val="1D1B35"/>
          <w:sz w:val="19"/>
        </w:rPr>
        <w:t>PlasmaPro Ltd</w:t>
      </w:r>
    </w:p>
    <w:p>
      <w:pPr>
        <w:spacing w:after="40"/>
      </w:pPr>
      <w:r>
        <w:rPr>
          <w:rFonts w:ascii="Aptos" w:hAnsi="Aptos"/>
          <w:b/>
          <w:color w:val="4338CA"/>
          <w:sz w:val="19"/>
        </w:rPr>
        <w:t xml:space="preserve">PRODUCT  </w:t>
      </w:r>
      <w:r>
        <w:rPr>
          <w:rFonts w:ascii="Aptos" w:hAnsi="Aptos"/>
          <w:b w:val="0"/>
          <w:color w:val="1D1B35"/>
          <w:sz w:val="19"/>
        </w:rPr>
        <w:t>Snatchi</w:t>
      </w:r>
    </w:p>
    <w:p>
      <w:pPr>
        <w:spacing w:after="40"/>
      </w:pPr>
      <w:r>
        <w:rPr>
          <w:rFonts w:ascii="Aptos" w:hAnsi="Aptos"/>
          <w:b/>
          <w:color w:val="4338CA"/>
          <w:sz w:val="19"/>
        </w:rPr>
        <w:t xml:space="preserve">PRICING DATE  </w:t>
      </w:r>
      <w:r>
        <w:rPr>
          <w:rFonts w:ascii="Aptos" w:hAnsi="Aptos"/>
          <w:b w:val="0"/>
          <w:color w:val="1D1B35"/>
          <w:sz w:val="19"/>
        </w:rPr>
        <w:t>22 August 2026</w:t>
      </w:r>
    </w:p>
    <w:p>
      <w:pPr>
        <w:spacing w:after="40"/>
      </w:pPr>
      <w:r>
        <w:rPr>
          <w:rFonts w:ascii="Aptos" w:hAnsi="Aptos"/>
          <w:b/>
          <w:color w:val="4338CA"/>
          <w:sz w:val="19"/>
        </w:rPr>
        <w:t xml:space="preserve">CURRENCY  </w:t>
      </w:r>
      <w:r>
        <w:rPr>
          <w:rFonts w:ascii="Aptos" w:hAnsi="Aptos"/>
          <w:b w:val="0"/>
          <w:color w:val="1D1B35"/>
          <w:sz w:val="19"/>
        </w:rPr>
        <w:t>GBP planning values; supplier USD converted at US$1.30 = £1.00</w:t>
      </w:r>
    </w:p>
    <w:p>
      <w:pPr>
        <w:spacing w:after="40"/>
      </w:pPr>
      <w:r>
        <w:rPr>
          <w:rFonts w:ascii="Aptos" w:hAnsi="Aptos"/>
          <w:b/>
          <w:color w:val="4338CA"/>
          <w:sz w:val="19"/>
        </w:rPr>
        <w:t xml:space="preserve">SCOPE  </w:t>
      </w:r>
      <w:r>
        <w:rPr>
          <w:rFonts w:ascii="Aptos" w:hAnsi="Aptos"/>
          <w:b w:val="0"/>
          <w:color w:val="1D1B35"/>
          <w:sz w:val="19"/>
        </w:rPr>
        <w:t>External subscriptions, cloud/API usage, app distribution and payment fees</w:t>
      </w:r>
    </w:p>
    <w:p>
      <w:pPr>
        <w:spacing w:after="40"/>
      </w:pPr>
      <w:r>
        <w:rPr>
          <w:rFonts w:ascii="Aptos" w:hAnsi="Aptos"/>
          <w:b/>
          <w:color w:val="4338CA"/>
          <w:sz w:val="19"/>
        </w:rPr>
        <w:t xml:space="preserve">EXCLUDED  </w:t>
      </w:r>
      <w:r>
        <w:rPr>
          <w:rFonts w:ascii="Aptos" w:hAnsi="Aptos"/>
          <w:b w:val="0"/>
          <w:color w:val="1D1B35"/>
          <w:sz w:val="19"/>
        </w:rPr>
        <w:t>Manual labour, salaries, contractors, support time, marketing and general company overhead</w:t>
      </w:r>
    </w:p>
    <w:p>
      <w:pPr>
        <w:spacing w:before="120" w:after="180"/>
        <w:ind w:left="173" w:right="173"/>
        <w:shd w:fill="EEECFF"/>
        <w:pBdr>
          <w:left w:val="single" w:sz="22" w:space="8" w:color="4338CA"/>
        </w:pBdr>
      </w:pPr>
      <w:r>
        <w:rPr>
          <w:rFonts w:ascii="Aptos" w:hAnsi="Aptos"/>
          <w:b/>
          <w:color w:val="4338CA"/>
          <w:sz w:val="17"/>
        </w:rPr>
        <w:t>DECISION SUMMARY</w:t>
        <w:br/>
      </w:r>
      <w:r>
        <w:rPr>
          <w:rFonts w:ascii="Aptos" w:hAnsi="Aptos"/>
          <w:b w:val="0"/>
          <w:color w:val="1D1B35"/>
          <w:sz w:val="20"/>
        </w:rPr>
        <w:t>Approve a baseline external-service operating budget of £190 per month excluding VAT and Stripe transaction fees for launch. This includes a lean production stack plus practical usage reserves and a 20% contingency. A technically lean floor is approximately £115 per month; a growth-stage allowance is approximately £420 per month.</w:t>
      </w:r>
    </w:p>
    <w:p>
      <w:pPr>
        <w:spacing w:before="280" w:after="40"/>
      </w:pPr>
      <w:r>
        <w:rPr>
          <w:rFonts w:ascii="Aptos" w:hAnsi="Aptos"/>
          <w:b/>
          <w:color w:val="4338CA"/>
          <w:sz w:val="17"/>
        </w:rPr>
        <w:t>01  /  COST PLAN</w:t>
      </w:r>
    </w:p>
    <w:p>
      <w:pPr>
        <w:pStyle w:val="Heading1"/>
      </w:pPr>
      <w:r>
        <w:t>Executive cost summary</w:t>
      </w:r>
    </w:p>
    <w:p>
      <w:pPr>
        <w:spacing w:after="200"/>
      </w:pPr>
      <w:r>
        <w:rPr>
          <w:rFonts w:ascii="Aptos" w:hAnsi="Aptos"/>
          <w:b w:val="0"/>
          <w:color w:val="66637A"/>
          <w:sz w:val="21"/>
        </w:rPr>
        <w:t>A realistic budget range, not a supplier quotation.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450"/>
        <w:gridCol w:w="1450"/>
        <w:gridCol w:w="4710"/>
      </w:tblGrid>
      <w:tr>
        <w:trPr>
          <w:tblHeader w:val="true"/>
          <w:cantSplit/>
        </w:trPr>
        <w:tc>
          <w:tcPr>
            <w:tcW w:type="dxa" w:w="175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Operating stage</w:t>
            </w:r>
          </w:p>
        </w:tc>
        <w:tc>
          <w:tcPr>
            <w:tcW w:type="dxa" w:w="145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Monthly budget</w:t>
            </w:r>
          </w:p>
        </w:tc>
        <w:tc>
          <w:tcPr>
            <w:tcW w:type="dxa" w:w="145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Annual budget</w:t>
            </w:r>
          </w:p>
        </w:tc>
        <w:tc>
          <w:tcPr>
            <w:tcW w:type="dxa" w:w="471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What it represents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Technical launch floor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£115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£1,380</w:t>
            </w:r>
          </w:p>
        </w:tc>
        <w:tc>
          <w:tcPr>
            <w:tcW w:type="dxa" w:w="4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Core paid production services, free usage tiers where suitable, and 20% contingency.</w:t>
            </w:r>
          </w:p>
        </w:tc>
      </w:tr>
      <w:tr>
        <w:trPr>
          <w:cantSplit/>
        </w:trPr>
        <w:tc>
          <w:tcPr>
            <w:tcW w:type="dxa" w:w="17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Recommended launch budget</w:t>
            </w:r>
          </w:p>
        </w:tc>
        <w:tc>
          <w:tcPr>
            <w:tcW w:type="dxa" w:w="14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£190</w:t>
            </w:r>
          </w:p>
        </w:tc>
        <w:tc>
          <w:tcPr>
            <w:tcW w:type="dxa" w:w="14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£2,280</w:t>
            </w:r>
          </w:p>
        </w:tc>
        <w:tc>
          <w:tcPr>
            <w:tcW w:type="dxa" w:w="471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Core services plus reserves for hosting, database, email, Firebase, media, maps and monitoring usage.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Growth budget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£420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£5,040</w:t>
            </w:r>
          </w:p>
        </w:tc>
        <w:tc>
          <w:tcPr>
            <w:tcW w:type="dxa" w:w="4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More traffic, paid media storage, stronger database capacity, two deployers and increased API usage.</w:t>
            </w:r>
          </w:p>
        </w:tc>
      </w:tr>
      <w:tr>
        <w:trPr>
          <w:cantSplit/>
        </w:trPr>
        <w:tc>
          <w:tcPr>
            <w:tcW w:type="dxa" w:w="17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Scale planning allowance</w:t>
            </w:r>
          </w:p>
        </w:tc>
        <w:tc>
          <w:tcPr>
            <w:tcW w:type="dxa" w:w="14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£1,130</w:t>
            </w:r>
          </w:p>
        </w:tc>
        <w:tc>
          <w:tcPr>
            <w:tcW w:type="dxa" w:w="14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£13,560</w:t>
            </w:r>
          </w:p>
        </w:tc>
        <w:tc>
          <w:tcPr>
            <w:tcW w:type="dxa" w:w="471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Higher database/media tiers, wider monitoring, heavier traffic and meaningful location/messaging usage.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D1B35"/>
          <w:sz w:val="21"/>
        </w:rPr>
        <w:t>These values exclude VAT, payment-processing fees, refunds, disputes, foreign-exchange fees and manual labour. The annual figures are monthly budgets multiplied by twelve; some suppliers bill annually or in USD, so actual cash timing and exchange rates will differ.</w:t>
      </w:r>
    </w:p>
    <w:p>
      <w:pPr>
        <w:spacing w:before="120" w:after="180"/>
        <w:ind w:left="173" w:right="173"/>
        <w:shd w:fill="EAF7EF"/>
        <w:pBdr>
          <w:left w:val="single" w:sz="22" w:space="8" w:color="166534"/>
        </w:pBdr>
      </w:pPr>
      <w:r>
        <w:rPr>
          <w:rFonts w:ascii="Aptos" w:hAnsi="Aptos"/>
          <w:b/>
          <w:color w:val="166534"/>
          <w:sz w:val="17"/>
        </w:rPr>
        <w:t>RECOMMENDED APPROVAL</w:t>
        <w:br/>
      </w:r>
      <w:r>
        <w:rPr>
          <w:rFonts w:ascii="Aptos" w:hAnsi="Aptos"/>
          <w:b w:val="0"/>
          <w:color w:val="1D1B35"/>
          <w:sz w:val="20"/>
        </w:rPr>
        <w:t>Use £190 per month as PlasmaPro’s initial non-labour operating envelope, plus a separate variable Stripe reserve. Set supplier spend alerts and review actual usage after the first 60 and 90 days before committing to higher tiers.</w:t>
      </w:r>
    </w:p>
    <w:p>
      <w:pPr>
        <w:spacing w:before="280" w:after="40"/>
      </w:pPr>
      <w:r>
        <w:rPr>
          <w:rFonts w:ascii="Aptos" w:hAnsi="Aptos"/>
          <w:b/>
          <w:color w:val="4338CA"/>
          <w:sz w:val="17"/>
        </w:rPr>
        <w:t>02  /  COST PLAN</w:t>
      </w:r>
    </w:p>
    <w:p>
      <w:pPr>
        <w:pStyle w:val="Heading1"/>
      </w:pPr>
      <w:r>
        <w:t>Service inventory and launch estimate</w:t>
      </w:r>
    </w:p>
    <w:p>
      <w:pPr>
        <w:spacing w:after="200"/>
      </w:pPr>
      <w:r>
        <w:rPr>
          <w:rFonts w:ascii="Aptos" w:hAnsi="Aptos"/>
          <w:b w:val="0"/>
          <w:color w:val="66637A"/>
          <w:sz w:val="21"/>
        </w:rPr>
        <w:t>The external services identified in the Snatchi web and mobile codebases.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660"/>
        <w:gridCol w:w="1980"/>
        <w:gridCol w:w="1450"/>
        <w:gridCol w:w="1870"/>
      </w:tblGrid>
      <w:tr>
        <w:trPr>
          <w:tblHeader w:val="true"/>
          <w:cantSplit/>
        </w:trPr>
        <w:tc>
          <w:tcPr>
            <w:tcW w:type="dxa" w:w="140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266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98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Launch choice</w:t>
            </w:r>
          </w:p>
        </w:tc>
        <w:tc>
          <w:tcPr>
            <w:tcW w:type="dxa" w:w="145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Est. £/month</w:t>
            </w:r>
          </w:p>
        </w:tc>
        <w:tc>
          <w:tcPr>
            <w:tcW w:type="dxa" w:w="187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Cost type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Vercel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Next.js hosting, CDN, server functions and deployments</w:t>
            </w:r>
          </w:p>
        </w:tc>
        <w:tc>
          <w:tcPr>
            <w:tcW w:type="dxa" w:w="1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Pro, one deploying seat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£15.40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Fixed + overage</w:t>
            </w:r>
          </w:p>
        </w:tc>
      </w:tr>
      <w:tr>
        <w:trPr>
          <w:cantSplit/>
        </w:trPr>
        <w:tc>
          <w:tcPr>
            <w:tcW w:type="dxa" w:w="14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MongoDB Atlas</w:t>
            </w:r>
          </w:p>
        </w:tc>
        <w:tc>
          <w:tcPr>
            <w:tcW w:type="dxa" w:w="26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Primary operational database</w:t>
            </w:r>
          </w:p>
        </w:tc>
        <w:tc>
          <w:tcPr>
            <w:tcW w:type="dxa" w:w="198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Dedicated entry tier (M10)</w:t>
            </w:r>
          </w:p>
        </w:tc>
        <w:tc>
          <w:tcPr>
            <w:tcW w:type="dxa" w:w="14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£43.80</w:t>
            </w:r>
          </w:p>
        </w:tc>
        <w:tc>
          <w:tcPr>
            <w:tcW w:type="dxa" w:w="187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Hourly + storage/egress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Firebase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Mobile auth, Firestore chat and FCM push</w:t>
            </w:r>
          </w:p>
        </w:tc>
        <w:tc>
          <w:tcPr>
            <w:tcW w:type="dxa" w:w="1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Blaze with free quotas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£0–£10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Usage based</w:t>
            </w:r>
          </w:p>
        </w:tc>
      </w:tr>
      <w:tr>
        <w:trPr>
          <w:cantSplit/>
        </w:trPr>
        <w:tc>
          <w:tcPr>
            <w:tcW w:type="dxa" w:w="14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Cloudinary</w:t>
            </w:r>
          </w:p>
        </w:tc>
        <w:tc>
          <w:tcPr>
            <w:tcW w:type="dxa" w:w="26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Project/user documents and images</w:t>
            </w:r>
          </w:p>
        </w:tc>
        <w:tc>
          <w:tcPr>
            <w:tcW w:type="dxa" w:w="198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Free while within 25 credits</w:t>
            </w:r>
          </w:p>
        </w:tc>
        <w:tc>
          <w:tcPr>
            <w:tcW w:type="dxa" w:w="14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£0</w:t>
            </w:r>
          </w:p>
        </w:tc>
        <w:tc>
          <w:tcPr>
            <w:tcW w:type="dxa" w:w="187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Tier/credits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Brevo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Transactional email</w:t>
            </w:r>
          </w:p>
        </w:tc>
        <w:tc>
          <w:tcPr>
            <w:tcW w:type="dxa" w:w="1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Starter, 5,000 emails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£6.90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Fixed by volume</w:t>
            </w:r>
          </w:p>
        </w:tc>
      </w:tr>
      <w:tr>
        <w:trPr>
          <w:cantSplit/>
        </w:trPr>
        <w:tc>
          <w:tcPr>
            <w:tcW w:type="dxa" w:w="14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Sentry</w:t>
            </w:r>
          </w:p>
        </w:tc>
        <w:tc>
          <w:tcPr>
            <w:tcW w:type="dxa" w:w="26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Web/mobile error and performance monitoring</w:t>
            </w:r>
          </w:p>
        </w:tc>
        <w:tc>
          <w:tcPr>
            <w:tcW w:type="dxa" w:w="198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Team</w:t>
            </w:r>
          </w:p>
        </w:tc>
        <w:tc>
          <w:tcPr>
            <w:tcW w:type="dxa" w:w="14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£20.00</w:t>
            </w:r>
          </w:p>
        </w:tc>
        <w:tc>
          <w:tcPr>
            <w:tcW w:type="dxa" w:w="187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Fixed + overage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Google Maps Platform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Mobile maps/location APIs if billable SKUs are enabled</w:t>
            </w:r>
          </w:p>
        </w:tc>
        <w:tc>
          <w:tcPr>
            <w:tcW w:type="dxa" w:w="1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Free calls / PAYG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£0–£5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Usage based</w:t>
            </w:r>
          </w:p>
        </w:tc>
      </w:tr>
      <w:tr>
        <w:trPr>
          <w:cantSplit/>
        </w:trPr>
        <w:tc>
          <w:tcPr>
            <w:tcW w:type="dxa" w:w="14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Apple Developer</w:t>
            </w:r>
          </w:p>
        </w:tc>
        <w:tc>
          <w:tcPr>
            <w:tcW w:type="dxa" w:w="26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iOS signing, TestFlight and App Store</w:t>
            </w:r>
          </w:p>
        </w:tc>
        <w:tc>
          <w:tcPr>
            <w:tcW w:type="dxa" w:w="198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Organisation membership</w:t>
            </w:r>
          </w:p>
        </w:tc>
        <w:tc>
          <w:tcPr>
            <w:tcW w:type="dxa" w:w="14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£6.35</w:t>
            </w:r>
          </w:p>
        </w:tc>
        <w:tc>
          <w:tcPr>
            <w:tcW w:type="dxa" w:w="187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US$99/year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Google Play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Android distribution</w:t>
            </w:r>
          </w:p>
        </w:tc>
        <w:tc>
          <w:tcPr>
            <w:tcW w:type="dxa" w:w="1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Full distribution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£1.60*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US$25 one-off</w:t>
            </w:r>
          </w:p>
        </w:tc>
      </w:tr>
      <w:tr>
        <w:trPr>
          <w:cantSplit/>
        </w:trPr>
        <w:tc>
          <w:tcPr>
            <w:tcW w:type="dxa" w:w="14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Domain, DNS and TLS</w:t>
            </w:r>
          </w:p>
        </w:tc>
        <w:tc>
          <w:tcPr>
            <w:tcW w:type="dxa" w:w="26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Public domain and secure routing</w:t>
            </w:r>
          </w:p>
        </w:tc>
        <w:tc>
          <w:tcPr>
            <w:tcW w:type="dxa" w:w="198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Registrar + free DNS/TLS</w:t>
            </w:r>
          </w:p>
        </w:tc>
        <w:tc>
          <w:tcPr>
            <w:tcW w:type="dxa" w:w="14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£1.25†</w:t>
            </w:r>
          </w:p>
        </w:tc>
        <w:tc>
          <w:tcPr>
            <w:tcW w:type="dxa" w:w="187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Annual allowance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Stripe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Subscriptions, cards, Connect and payouts</w:t>
            </w:r>
          </w:p>
        </w:tc>
        <w:tc>
          <w:tcPr>
            <w:tcW w:type="dxa" w:w="1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Pay as you go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Variable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Percentage + per event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Aptos" w:hAnsi="Aptos"/>
          <w:b w:val="0"/>
          <w:color w:val="66637A"/>
          <w:sz w:val="16"/>
        </w:rPr>
        <w:t>* Google Play is shown as a first-year monthly equivalent; the fee is paid once. † Domain allowance is a planning estimate, not a current registrar quote. Supplier prices converted at US$1.30/£1 and rounded.</w:t>
      </w:r>
    </w:p>
    <w:p>
      <w:pPr>
        <w:pStyle w:val="Heading2"/>
      </w:pPr>
      <w:r>
        <w:t>What should be paid from launch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Vercel Pro rather than Hobby, because Hobby is positioned for personal/non-commercial use.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A dedicated MongoDB Atlas entry tier rather than the free learning tier for production customer data.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Brevo Starter to remove the 300-email daily ceiling and support transactional growth.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Sentry Team so multiple stakeholders can operate monitoring and integrations.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Apple Developer membership and Google Play registration under PlasmaPro’s legal organisation accounts.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Firebase Blaze billing enabled with budget alerts, even when initial usage remains inside no-cost quotas.</w:t>
      </w:r>
    </w:p>
    <w:p>
      <w:pPr>
        <w:pStyle w:val="Heading2"/>
      </w:pPr>
      <w:r>
        <w:t>Services that can begin at zero usage cost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Cloudinary Free: 25 monthly credits shared across transformations, storage and bandwidth; suitable only while usage remains below the included envelope.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Firebase: FCM is no-cost; most authentication has 50,000 no-cost monthly active users; Firestore includes 1 GiB storage, 50,000 reads/day, 20,000 writes/day, 20,000 deletes/day and 10 GiB monthly outbound transfer.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Google Maps Platform: current product usage may remain inside free calls; some mobile actions simply open Google Maps URLs. Billable API/SDK use must still have quotas and alerts.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Cloudflare Free can provide DNS, universal SSL, CDN and baseline DDoS/WAF features if used in front of the chosen hosting setup.</w:t>
      </w:r>
    </w:p>
    <w:p>
      <w:pPr>
        <w:spacing w:before="280" w:after="40"/>
      </w:pPr>
      <w:r>
        <w:rPr>
          <w:rFonts w:ascii="Aptos" w:hAnsi="Aptos"/>
          <w:b/>
          <w:color w:val="4338CA"/>
          <w:sz w:val="17"/>
        </w:rPr>
        <w:t>03  /  COST PLAN</w:t>
      </w:r>
    </w:p>
    <w:p>
      <w:pPr>
        <w:pStyle w:val="Heading1"/>
      </w:pPr>
      <w:r>
        <w:t>Budget scenarios and scaling triggers</w:t>
      </w:r>
    </w:p>
    <w:p>
      <w:pPr>
        <w:spacing w:after="200"/>
      </w:pPr>
      <w:r>
        <w:rPr>
          <w:rFonts w:ascii="Aptos" w:hAnsi="Aptos"/>
          <w:b w:val="0"/>
          <w:color w:val="66637A"/>
          <w:sz w:val="21"/>
        </w:rPr>
        <w:t>Spend should rise because measured usage requires it, not because a higher tier looks safer.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10"/>
        <w:gridCol w:w="1600"/>
        <w:gridCol w:w="1860"/>
        <w:gridCol w:w="1680"/>
        <w:gridCol w:w="1810"/>
      </w:tblGrid>
      <w:tr>
        <w:trPr>
          <w:tblHeader w:val="true"/>
          <w:cantSplit/>
        </w:trPr>
        <w:tc>
          <w:tcPr>
            <w:tcW w:type="dxa" w:w="241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Cost line</w:t>
            </w:r>
          </w:p>
        </w:tc>
        <w:tc>
          <w:tcPr>
            <w:tcW w:type="dxa" w:w="160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Floor</w:t>
            </w:r>
          </w:p>
        </w:tc>
        <w:tc>
          <w:tcPr>
            <w:tcW w:type="dxa" w:w="186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Recommended launch</w:t>
            </w:r>
          </w:p>
        </w:tc>
        <w:tc>
          <w:tcPr>
            <w:tcW w:type="dxa" w:w="168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Growth</w:t>
            </w:r>
          </w:p>
        </w:tc>
        <w:tc>
          <w:tcPr>
            <w:tcW w:type="dxa" w:w="181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Scale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Hosting and delivery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£15</w:t>
            </w:r>
          </w:p>
        </w:tc>
        <w:tc>
          <w:tcPr>
            <w:tcW w:type="dxa" w:w="1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£25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£46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£100</w:t>
            </w:r>
          </w:p>
        </w:tc>
      </w:tr>
      <w:tr>
        <w:trPr>
          <w:cantSplit/>
        </w:trPr>
        <w:tc>
          <w:tcPr>
            <w:tcW w:type="dxa" w:w="241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Database</w:t>
            </w:r>
          </w:p>
        </w:tc>
        <w:tc>
          <w:tcPr>
            <w:tcW w:type="dxa" w:w="16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£44</w:t>
            </w:r>
          </w:p>
        </w:tc>
        <w:tc>
          <w:tcPr>
            <w:tcW w:type="dxa" w:w="18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£54</w:t>
            </w:r>
          </w:p>
        </w:tc>
        <w:tc>
          <w:tcPr>
            <w:tcW w:type="dxa" w:w="168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£120</w:t>
            </w:r>
          </w:p>
        </w:tc>
        <w:tc>
          <w:tcPr>
            <w:tcW w:type="dxa" w:w="181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£298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Media/documents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£0</w:t>
            </w:r>
          </w:p>
        </w:tc>
        <w:tc>
          <w:tcPr>
            <w:tcW w:type="dxa" w:w="1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£15 reserve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£76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£192</w:t>
            </w:r>
          </w:p>
        </w:tc>
      </w:tr>
      <w:tr>
        <w:trPr>
          <w:cantSplit/>
        </w:trPr>
        <w:tc>
          <w:tcPr>
            <w:tcW w:type="dxa" w:w="241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Firebase/chat/push</w:t>
            </w:r>
          </w:p>
        </w:tc>
        <w:tc>
          <w:tcPr>
            <w:tcW w:type="dxa" w:w="16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£0</w:t>
            </w:r>
          </w:p>
        </w:tc>
        <w:tc>
          <w:tcPr>
            <w:tcW w:type="dxa" w:w="18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£10</w:t>
            </w:r>
          </w:p>
        </w:tc>
        <w:tc>
          <w:tcPr>
            <w:tcW w:type="dxa" w:w="168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£35</w:t>
            </w:r>
          </w:p>
        </w:tc>
        <w:tc>
          <w:tcPr>
            <w:tcW w:type="dxa" w:w="181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£100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Transactional email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£7</w:t>
            </w:r>
          </w:p>
        </w:tc>
        <w:tc>
          <w:tcPr>
            <w:tcW w:type="dxa" w:w="1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£12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£14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£50</w:t>
            </w:r>
          </w:p>
        </w:tc>
      </w:tr>
      <w:tr>
        <w:trPr>
          <w:cantSplit/>
        </w:trPr>
        <w:tc>
          <w:tcPr>
            <w:tcW w:type="dxa" w:w="241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Monitoring</w:t>
            </w:r>
          </w:p>
        </w:tc>
        <w:tc>
          <w:tcPr>
            <w:tcW w:type="dxa" w:w="16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£20</w:t>
            </w:r>
          </w:p>
        </w:tc>
        <w:tc>
          <w:tcPr>
            <w:tcW w:type="dxa" w:w="18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£25</w:t>
            </w:r>
          </w:p>
        </w:tc>
        <w:tc>
          <w:tcPr>
            <w:tcW w:type="dxa" w:w="168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£30</w:t>
            </w:r>
          </w:p>
        </w:tc>
        <w:tc>
          <w:tcPr>
            <w:tcW w:type="dxa" w:w="181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£92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Maps/location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£0</w:t>
            </w:r>
          </w:p>
        </w:tc>
        <w:tc>
          <w:tcPr>
            <w:tcW w:type="dxa" w:w="1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£5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£20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£100</w:t>
            </w:r>
          </w:p>
        </w:tc>
      </w:tr>
      <w:tr>
        <w:trPr>
          <w:cantSplit/>
        </w:trPr>
        <w:tc>
          <w:tcPr>
            <w:tcW w:type="dxa" w:w="241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Stores + domain</w:t>
            </w:r>
          </w:p>
        </w:tc>
        <w:tc>
          <w:tcPr>
            <w:tcW w:type="dxa" w:w="16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£9</w:t>
            </w:r>
          </w:p>
        </w:tc>
        <w:tc>
          <w:tcPr>
            <w:tcW w:type="dxa" w:w="18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£9</w:t>
            </w:r>
          </w:p>
        </w:tc>
        <w:tc>
          <w:tcPr>
            <w:tcW w:type="dxa" w:w="168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£9</w:t>
            </w:r>
          </w:p>
        </w:tc>
        <w:tc>
          <w:tcPr>
            <w:tcW w:type="dxa" w:w="181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£8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Subtotal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£95</w:t>
            </w:r>
          </w:p>
        </w:tc>
        <w:tc>
          <w:tcPr>
            <w:tcW w:type="dxa" w:w="1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£155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£350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£940</w:t>
            </w:r>
          </w:p>
        </w:tc>
      </w:tr>
      <w:tr>
        <w:trPr>
          <w:cantSplit/>
        </w:trPr>
        <w:tc>
          <w:tcPr>
            <w:tcW w:type="dxa" w:w="241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20% contingency</w:t>
            </w:r>
          </w:p>
        </w:tc>
        <w:tc>
          <w:tcPr>
            <w:tcW w:type="dxa" w:w="16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£19</w:t>
            </w:r>
          </w:p>
        </w:tc>
        <w:tc>
          <w:tcPr>
            <w:tcW w:type="dxa" w:w="18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£31</w:t>
            </w:r>
          </w:p>
        </w:tc>
        <w:tc>
          <w:tcPr>
            <w:tcW w:type="dxa" w:w="168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£70</w:t>
            </w:r>
          </w:p>
        </w:tc>
        <w:tc>
          <w:tcPr>
            <w:tcW w:type="dxa" w:w="181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£188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Approved budget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£115</w:t>
            </w:r>
          </w:p>
        </w:tc>
        <w:tc>
          <w:tcPr>
            <w:tcW w:type="dxa" w:w="1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£190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£420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£1,130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D1B35"/>
          <w:sz w:val="21"/>
        </w:rPr>
        <w:t>Growth and scale rows are planning allowances rather than exact quotes. MongoDB region, provider, backups and storage materially affect the invoice; Firebase and Maps depend on SKU and region; Vercel and Sentry depend on overage. Cloudinary paid values use the published Plus and Advanced monthly rates converted to GBP.</w:t>
      </w:r>
    </w:p>
    <w:p>
      <w:pPr>
        <w:pStyle w:val="Heading2"/>
      </w:pPr>
      <w:r>
        <w:t>Upgrade triggers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740"/>
        <w:gridCol w:w="4220"/>
      </w:tblGrid>
      <w:tr>
        <w:trPr>
          <w:tblHeader w:val="true"/>
          <w:cantSplit/>
        </w:trPr>
        <w:tc>
          <w:tcPr>
            <w:tcW w:type="dxa" w:w="140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374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Stay on launch choice while…</w:t>
            </w:r>
          </w:p>
        </w:tc>
        <w:tc>
          <w:tcPr>
            <w:tcW w:type="dxa" w:w="422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Upgrade/review when…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MongoDB</w:t>
            </w:r>
          </w:p>
        </w:tc>
        <w:tc>
          <w:tcPr>
            <w:tcW w:type="dxa" w:w="37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CPU, memory, connection and storage headroom are stable.</w:t>
            </w:r>
          </w:p>
        </w:tc>
        <w:tc>
          <w:tcPr>
            <w:tcW w:type="dxa" w:w="4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Sustained resource pressure, slow queries, backup requirements or storage growth approach safe limits.</w:t>
            </w:r>
          </w:p>
        </w:tc>
      </w:tr>
      <w:tr>
        <w:trPr>
          <w:cantSplit/>
        </w:trPr>
        <w:tc>
          <w:tcPr>
            <w:tcW w:type="dxa" w:w="14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Cloudinary</w:t>
            </w:r>
          </w:p>
        </w:tc>
        <w:tc>
          <w:tcPr>
            <w:tcW w:type="dxa" w:w="374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Combined storage, transformations and bandwidth remain within 25 credits.</w:t>
            </w:r>
          </w:p>
        </w:tc>
        <w:tc>
          <w:tcPr>
            <w:tcW w:type="dxa" w:w="422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Usage trends toward the credit ceiling or production needs exceed free-plan file-size/security features.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Firebase</w:t>
            </w:r>
          </w:p>
        </w:tc>
        <w:tc>
          <w:tcPr>
            <w:tcW w:type="dxa" w:w="37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Chat/auth/egress remain inside free quota and invoices are negligible.</w:t>
            </w:r>
          </w:p>
        </w:tc>
        <w:tc>
          <w:tcPr>
            <w:tcW w:type="dxa" w:w="4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Reads, listeners, storage or egress rise; optimise queries before simply raising budget.</w:t>
            </w:r>
          </w:p>
        </w:tc>
      </w:tr>
      <w:tr>
        <w:trPr>
          <w:cantSplit/>
        </w:trPr>
        <w:tc>
          <w:tcPr>
            <w:tcW w:type="dxa" w:w="14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Vercel</w:t>
            </w:r>
          </w:p>
        </w:tc>
        <w:tc>
          <w:tcPr>
            <w:tcW w:type="dxa" w:w="374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One deployer and included credit cover production use.</w:t>
            </w:r>
          </w:p>
        </w:tc>
        <w:tc>
          <w:tcPr>
            <w:tcW w:type="dxa" w:w="422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Another deploying seat is required or compute/data transfer consistently consumes the credit.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Brevo</w:t>
            </w:r>
          </w:p>
        </w:tc>
        <w:tc>
          <w:tcPr>
            <w:tcW w:type="dxa" w:w="37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5,000 messages/month is sufficient and delivery quality is healthy.</w:t>
            </w:r>
          </w:p>
        </w:tc>
        <w:tc>
          <w:tcPr>
            <w:tcW w:type="dxa" w:w="4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Volume approaches the allowance, more contacts/users are needed, or deliverability features justify Standard.</w:t>
            </w:r>
          </w:p>
        </w:tc>
      </w:tr>
      <w:tr>
        <w:trPr>
          <w:cantSplit/>
        </w:trPr>
        <w:tc>
          <w:tcPr>
            <w:tcW w:type="dxa" w:w="14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Sentry</w:t>
            </w:r>
          </w:p>
        </w:tc>
        <w:tc>
          <w:tcPr>
            <w:tcW w:type="dxa" w:w="374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50,000 errors, 5 GB logs/metrics and 5M spans are sufficient.</w:t>
            </w:r>
          </w:p>
        </w:tc>
        <w:tc>
          <w:tcPr>
            <w:tcW w:type="dxa" w:w="422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Quotas suppress useful telemetry or governance requirements justify Business.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Maps</w:t>
            </w:r>
          </w:p>
        </w:tc>
        <w:tc>
          <w:tcPr>
            <w:tcW w:type="dxa" w:w="37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Monthly calls remain in each SKU’s free allowance.</w:t>
            </w:r>
          </w:p>
        </w:tc>
        <w:tc>
          <w:tcPr>
            <w:tcW w:type="dxa" w:w="42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Paid API requests begin; restrict keys, set per-SKU quotas and forecast from real call counts.</w:t>
            </w:r>
          </w:p>
        </w:tc>
      </w:tr>
    </w:tbl>
    <w:p>
      <w:pPr>
        <w:spacing w:after="0"/>
      </w:pPr>
    </w:p>
    <w:p>
      <w:pPr>
        <w:spacing w:before="280" w:after="40"/>
      </w:pPr>
      <w:r>
        <w:rPr>
          <w:rFonts w:ascii="Aptos" w:hAnsi="Aptos"/>
          <w:b/>
          <w:color w:val="4338CA"/>
          <w:sz w:val="17"/>
        </w:rPr>
        <w:t>04  /  COST PLAN</w:t>
      </w:r>
    </w:p>
    <w:p>
      <w:pPr>
        <w:pStyle w:val="Heading1"/>
      </w:pPr>
      <w:r>
        <w:t>Stripe variable transaction costs</w:t>
      </w:r>
    </w:p>
    <w:p>
      <w:pPr>
        <w:spacing w:after="200"/>
      </w:pPr>
      <w:r>
        <w:rPr>
          <w:rFonts w:ascii="Aptos" w:hAnsi="Aptos"/>
          <w:b w:val="0"/>
          <w:color w:val="66637A"/>
          <w:sz w:val="21"/>
        </w:rPr>
        <w:t>Stripe has no fixed launch subscription, but costs increase directly with revenue and marketplace activity.</w:t>
      </w:r>
    </w:p>
    <w:p>
      <w:pPr>
        <w:pStyle w:val="Heading2"/>
      </w:pPr>
      <w:r>
        <w:t>Customer subscription payments</w:t>
      </w:r>
    </w:p>
    <w:p>
      <w:r>
        <w:rPr>
          <w:rFonts w:ascii="Aptos" w:hAnsi="Aptos"/>
          <w:b w:val="0"/>
          <w:color w:val="1D1B35"/>
          <w:sz w:val="21"/>
        </w:rPr>
        <w:t>Planning formula for a standard UK card: 1.5% + £0.20 Stripe Payments fee, plus 0.7% of recurring Billing volume. Combined planning rate: approximately 2.2% + £0.20 per successful subscription charge.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700"/>
        <w:gridCol w:w="1500"/>
        <w:gridCol w:w="1400"/>
        <w:gridCol w:w="1400"/>
        <w:gridCol w:w="1860"/>
      </w:tblGrid>
      <w:tr>
        <w:trPr>
          <w:tblHeader w:val="true"/>
          <w:cantSplit/>
        </w:trPr>
        <w:tc>
          <w:tcPr>
            <w:tcW w:type="dxa" w:w="150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Snatchi plan</w:t>
            </w:r>
          </w:p>
        </w:tc>
        <w:tc>
          <w:tcPr>
            <w:tcW w:type="dxa" w:w="170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Charge</w:t>
            </w:r>
          </w:p>
        </w:tc>
        <w:tc>
          <w:tcPr>
            <w:tcW w:type="dxa" w:w="150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Payments fee</w:t>
            </w:r>
          </w:p>
        </w:tc>
        <w:tc>
          <w:tcPr>
            <w:tcW w:type="dxa" w:w="140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Billing fee</w:t>
            </w:r>
          </w:p>
        </w:tc>
        <w:tc>
          <w:tcPr>
            <w:tcW w:type="dxa" w:w="140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Total fee</w:t>
            </w:r>
          </w:p>
        </w:tc>
        <w:tc>
          <w:tcPr>
            <w:tcW w:type="dxa" w:w="186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Net before VAT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Basic Plan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£50 monthly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£0.95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£0.35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£1.30</w:t>
            </w:r>
          </w:p>
        </w:tc>
        <w:tc>
          <w:tcPr>
            <w:tcW w:type="dxa" w:w="1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£48.70</w:t>
            </w:r>
          </w:p>
        </w:tc>
      </w:tr>
      <w:tr>
        <w:trPr>
          <w:cantSplit/>
        </w:trPr>
        <w:tc>
          <w:tcPr>
            <w:tcW w:type="dxa" w:w="15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Premium</w:t>
            </w:r>
          </w:p>
        </w:tc>
        <w:tc>
          <w:tcPr>
            <w:tcW w:type="dxa" w:w="17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£250 / 6 months</w:t>
            </w:r>
          </w:p>
        </w:tc>
        <w:tc>
          <w:tcPr>
            <w:tcW w:type="dxa" w:w="15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£3.95</w:t>
            </w:r>
          </w:p>
        </w:tc>
        <w:tc>
          <w:tcPr>
            <w:tcW w:type="dxa" w:w="14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£1.75</w:t>
            </w:r>
          </w:p>
        </w:tc>
        <w:tc>
          <w:tcPr>
            <w:tcW w:type="dxa" w:w="14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£5.70</w:t>
            </w:r>
          </w:p>
        </w:tc>
        <w:tc>
          <w:tcPr>
            <w:tcW w:type="dxa" w:w="18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£244.30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Premium Plus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£500 yearly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£7.70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£3.50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£11.20</w:t>
            </w:r>
          </w:p>
        </w:tc>
        <w:tc>
          <w:tcPr>
            <w:tcW w:type="dxa" w:w="1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£488.80</w:t>
            </w:r>
          </w:p>
        </w:tc>
      </w:tr>
    </w:tbl>
    <w:p>
      <w:pPr>
        <w:spacing w:after="0"/>
      </w:pPr>
    </w:p>
    <w:p>
      <w:pPr>
        <w:spacing w:before="120" w:after="180"/>
        <w:ind w:left="173" w:right="173"/>
        <w:shd w:fill="FFF5E6"/>
        <w:pBdr>
          <w:left w:val="single" w:sz="22" w:space="8" w:color="9B5C08"/>
        </w:pBdr>
      </w:pPr>
      <w:r>
        <w:rPr>
          <w:rFonts w:ascii="Aptos" w:hAnsi="Aptos"/>
          <w:b/>
          <w:color w:val="9B5C08"/>
          <w:sz w:val="17"/>
        </w:rPr>
        <w:t>CARD MIX MATTERS</w:t>
        <w:br/>
      </w:r>
      <w:r>
        <w:rPr>
          <w:rFonts w:ascii="Aptos" w:hAnsi="Aptos"/>
          <w:b w:val="0"/>
          <w:color w:val="1D1B35"/>
          <w:sz w:val="20"/>
        </w:rPr>
        <w:t>The table assumes standard UK cards. Published Stripe pricing is higher for premium UK, EEA and international cards; currency conversion and disputes can add further fees. Build forecasts from the actual card mix once live.</w:t>
      </w:r>
    </w:p>
    <w:p>
      <w:pPr>
        <w:pStyle w:val="Heading2"/>
      </w:pPr>
      <w:r>
        <w:t>External engineer marketplace payments</w:t>
      </w:r>
    </w:p>
    <w:p>
      <w:r>
        <w:rPr>
          <w:rFonts w:ascii="Aptos" w:hAnsi="Aptos"/>
          <w:b w:val="0"/>
          <w:color w:val="1D1B35"/>
          <w:sz w:val="21"/>
        </w:rPr>
        <w:t>Where the platform sets Connect pricing, use this conservative UK planning formula for one successful booking payment and one payout: card processing (1.5% + £0.20) + payout (0.25% + £0.10) + £2 for each connected account active in that month. The £2 account fee is monthly, not per payout, so it is shared when an engineer receives multiple payouts.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900"/>
        <w:gridCol w:w="1650"/>
        <w:gridCol w:w="1800"/>
        <w:gridCol w:w="2160"/>
      </w:tblGrid>
      <w:tr>
        <w:trPr>
          <w:tblHeader w:val="true"/>
          <w:cantSplit/>
        </w:trPr>
        <w:tc>
          <w:tcPr>
            <w:tcW w:type="dxa" w:w="185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Engineer payment</w:t>
            </w:r>
          </w:p>
        </w:tc>
        <w:tc>
          <w:tcPr>
            <w:tcW w:type="dxa" w:w="190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Card processing</w:t>
            </w:r>
          </w:p>
        </w:tc>
        <w:tc>
          <w:tcPr>
            <w:tcW w:type="dxa" w:w="165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Payout fee</w:t>
            </w:r>
          </w:p>
        </w:tc>
        <w:tc>
          <w:tcPr>
            <w:tcW w:type="dxa" w:w="180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Active account</w:t>
            </w:r>
          </w:p>
        </w:tc>
        <w:tc>
          <w:tcPr>
            <w:tcW w:type="dxa" w:w="216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Illustrative total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£250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£3.95</w:t>
            </w:r>
          </w:p>
        </w:tc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£0.73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£2.00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£6.68</w:t>
            </w:r>
          </w:p>
        </w:tc>
      </w:tr>
      <w:tr>
        <w:trPr>
          <w:cantSplit/>
        </w:trPr>
        <w:tc>
          <w:tcPr>
            <w:tcW w:type="dxa" w:w="18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£500</w:t>
            </w:r>
          </w:p>
        </w:tc>
        <w:tc>
          <w:tcPr>
            <w:tcW w:type="dxa" w:w="19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£7.70</w:t>
            </w:r>
          </w:p>
        </w:tc>
        <w:tc>
          <w:tcPr>
            <w:tcW w:type="dxa" w:w="16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£1.35</w:t>
            </w:r>
          </w:p>
        </w:tc>
        <w:tc>
          <w:tcPr>
            <w:tcW w:type="dxa" w:w="18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£2.00</w:t>
            </w:r>
          </w:p>
        </w:tc>
        <w:tc>
          <w:tcPr>
            <w:tcW w:type="dxa" w:w="21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£11.05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£1,000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£15.20</w:t>
            </w:r>
          </w:p>
        </w:tc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£2.60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£2.00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7"/>
              </w:rPr>
              <w:t>£19.80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D1B35"/>
          <w:sz w:val="21"/>
        </w:rPr>
        <w:t>The actual Connect charge depends on account configuration and whether Stripe or the platform controls pricing. Confirm the live Connect pricing model in the Stripe Dashboard before publishing marketplace margins.</w:t>
      </w:r>
    </w:p>
    <w:p>
      <w:pPr>
        <w:pStyle w:val="Heading2"/>
      </w:pPr>
      <w:r>
        <w:t>Illustrative monthly Stripe reserve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350"/>
        <w:gridCol w:w="3420"/>
        <w:gridCol w:w="2190"/>
      </w:tblGrid>
      <w:tr>
        <w:trPr>
          <w:tblHeader w:val="true"/>
          <w:cantSplit/>
        </w:trPr>
        <w:tc>
          <w:tcPr>
            <w:tcW w:type="dxa" w:w="140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35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Subscription assumption</w:t>
            </w:r>
          </w:p>
        </w:tc>
        <w:tc>
          <w:tcPr>
            <w:tcW w:type="dxa" w:w="342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Marketplace assumption</w:t>
            </w:r>
          </w:p>
        </w:tc>
        <w:tc>
          <w:tcPr>
            <w:tcW w:type="dxa" w:w="219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Est. Stripe fees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Launch</w:t>
            </w:r>
          </w:p>
        </w:tc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10 Basic payments (£500)</w:t>
            </w:r>
          </w:p>
        </w:tc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5 × £500 payouts to 5 active engineers</w:t>
            </w:r>
          </w:p>
        </w:tc>
        <w:tc>
          <w:tcPr>
            <w:tcW w:type="dxa" w:w="2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~£68/month</w:t>
            </w:r>
          </w:p>
        </w:tc>
      </w:tr>
      <w:tr>
        <w:trPr>
          <w:cantSplit/>
        </w:trPr>
        <w:tc>
          <w:tcPr>
            <w:tcW w:type="dxa" w:w="14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Growth</w:t>
            </w:r>
          </w:p>
        </w:tc>
        <w:tc>
          <w:tcPr>
            <w:tcW w:type="dxa" w:w="235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50 Basic payments (£2,500)</w:t>
            </w:r>
          </w:p>
        </w:tc>
        <w:tc>
          <w:tcPr>
            <w:tcW w:type="dxa" w:w="342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25 × £500 payouts to 20 active engineers</w:t>
            </w:r>
          </w:p>
        </w:tc>
        <w:tc>
          <w:tcPr>
            <w:tcW w:type="dxa" w:w="219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~£331/month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Scale</w:t>
            </w:r>
          </w:p>
        </w:tc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200 Basic payments (£10,000)</w:t>
            </w:r>
          </w:p>
        </w:tc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100 × £500 payouts to 75 active engineers</w:t>
            </w:r>
          </w:p>
        </w:tc>
        <w:tc>
          <w:tcPr>
            <w:tcW w:type="dxa" w:w="21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~£1,315/month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D1B35"/>
          <w:sz w:val="21"/>
        </w:rPr>
        <w:t>These examples are deliberately simple and exclude refunds, failed charges, disputes, international cards and VAT. They are a reserve-planning tool, not a revenue forecast.</w:t>
      </w:r>
    </w:p>
    <w:p>
      <w:pPr>
        <w:spacing w:before="280" w:after="40"/>
      </w:pPr>
      <w:r>
        <w:rPr>
          <w:rFonts w:ascii="Aptos" w:hAnsi="Aptos"/>
          <w:b/>
          <w:color w:val="4338CA"/>
          <w:sz w:val="17"/>
        </w:rPr>
        <w:t>05  /  COST PLAN</w:t>
      </w:r>
    </w:p>
    <w:p>
      <w:pPr>
        <w:pStyle w:val="Heading1"/>
      </w:pPr>
      <w:r>
        <w:t>Cost governance and purchasing plan</w:t>
      </w:r>
    </w:p>
    <w:p>
      <w:pPr>
        <w:spacing w:after="200"/>
      </w:pPr>
      <w:r>
        <w:rPr>
          <w:rFonts w:ascii="Aptos" w:hAnsi="Aptos"/>
          <w:b w:val="0"/>
          <w:color w:val="66637A"/>
          <w:sz w:val="21"/>
        </w:rPr>
        <w:t>The control process is as important as the opening budget.</w:t>
      </w:r>
    </w:p>
    <w:p>
      <w:pPr>
        <w:pStyle w:val="ListNumber"/>
        <w:spacing w:after="100"/>
        <w:ind w:left="605" w:hanging="259"/>
      </w:pPr>
      <w:r>
        <w:rPr>
          <w:rFonts w:ascii="Aptos" w:hAnsi="Aptos"/>
          <w:b w:val="0"/>
          <w:color w:val="1D1B35"/>
          <w:sz w:val="20"/>
        </w:rPr>
        <w:t>Open supplier accounts in PlasmaPro Ltd’s legal name, using company-controlled email addresses and billing methods.</w:t>
      </w:r>
    </w:p>
    <w:p>
      <w:pPr>
        <w:pStyle w:val="ListNumber"/>
        <w:spacing w:after="100"/>
        <w:ind w:left="605" w:hanging="259"/>
      </w:pPr>
      <w:r>
        <w:rPr>
          <w:rFonts w:ascii="Aptos" w:hAnsi="Aptos"/>
          <w:b w:val="0"/>
          <w:color w:val="1D1B35"/>
          <w:sz w:val="20"/>
        </w:rPr>
        <w:t>Keep production and test projects separate, especially for MongoDB, Firebase, Stripe, Cloudinary and Sentry.</w:t>
      </w:r>
    </w:p>
    <w:p>
      <w:pPr>
        <w:pStyle w:val="ListNumber"/>
        <w:spacing w:after="100"/>
        <w:ind w:left="605" w:hanging="259"/>
      </w:pPr>
      <w:r>
        <w:rPr>
          <w:rFonts w:ascii="Aptos" w:hAnsi="Aptos"/>
          <w:b w:val="0"/>
          <w:color w:val="1D1B35"/>
          <w:sz w:val="20"/>
        </w:rPr>
        <w:t>Apply budget alerts and hard caps where supported; use API-key restrictions, least privilege and named account owners.</w:t>
      </w:r>
    </w:p>
    <w:p>
      <w:pPr>
        <w:pStyle w:val="ListNumber"/>
        <w:spacing w:after="100"/>
        <w:ind w:left="605" w:hanging="259"/>
      </w:pPr>
      <w:r>
        <w:rPr>
          <w:rFonts w:ascii="Aptos" w:hAnsi="Aptos"/>
          <w:b w:val="0"/>
          <w:color w:val="1D1B35"/>
          <w:sz w:val="20"/>
        </w:rPr>
        <w:t>Record plan, renewal date, billing currency, VAT treatment, account owner, cancellation terms and current spend in a subscription register.</w:t>
      </w:r>
    </w:p>
    <w:p>
      <w:pPr>
        <w:pStyle w:val="ListNumber"/>
        <w:spacing w:after="100"/>
        <w:ind w:left="605" w:hanging="259"/>
      </w:pPr>
      <w:r>
        <w:rPr>
          <w:rFonts w:ascii="Aptos" w:hAnsi="Aptos"/>
          <w:b w:val="0"/>
          <w:color w:val="1D1B35"/>
          <w:sz w:val="20"/>
        </w:rPr>
        <w:t>Review actual invoices and usage after 30, 60 and 90 days, then quarterly.</w:t>
      </w:r>
    </w:p>
    <w:p>
      <w:pPr>
        <w:pStyle w:val="ListNumber"/>
        <w:spacing w:after="100"/>
        <w:ind w:left="605" w:hanging="259"/>
      </w:pPr>
      <w:r>
        <w:rPr>
          <w:rFonts w:ascii="Aptos" w:hAnsi="Aptos"/>
          <w:b w:val="0"/>
          <w:color w:val="1D1B35"/>
          <w:sz w:val="20"/>
        </w:rPr>
        <w:t>Upgrade only after measuring the relevant trigger: database resources, document credits, email volume, API calls, telemetry events or deployment seats.</w:t>
      </w:r>
    </w:p>
    <w:p>
      <w:pPr>
        <w:pStyle w:val="ListNumber"/>
        <w:spacing w:after="100"/>
        <w:ind w:left="605" w:hanging="259"/>
      </w:pPr>
      <w:r>
        <w:rPr>
          <w:rFonts w:ascii="Aptos" w:hAnsi="Aptos"/>
          <w:b w:val="0"/>
          <w:color w:val="1D1B35"/>
          <w:sz w:val="20"/>
        </w:rPr>
        <w:t>Reconcile Stripe fees separately from infrastructure so gross margin is visible by subscription and external booking.</w:t>
      </w:r>
    </w:p>
    <w:p>
      <w:pPr>
        <w:pStyle w:val="ListNumber"/>
        <w:spacing w:after="100"/>
        <w:ind w:left="605" w:hanging="259"/>
      </w:pPr>
      <w:r>
        <w:rPr>
          <w:rFonts w:ascii="Aptos" w:hAnsi="Aptos"/>
          <w:b w:val="0"/>
          <w:color w:val="1D1B35"/>
          <w:sz w:val="20"/>
        </w:rPr>
        <w:t>Maintain a 20% service contingency and a separate chargeback/refund reserve; do not treat either as available operating profit.</w:t>
      </w:r>
    </w:p>
    <w:p>
      <w:pPr>
        <w:pStyle w:val="Heading2"/>
      </w:pPr>
      <w:r>
        <w:t>Recommended cost controls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Vercel: spend notifications and a reviewed maximum-spend action.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MongoDB Atlas: budget alerts, auto-scaling limits, slow-query review and backup-cost visibility.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Firebase/Google Cloud: project budget alerts, Firestore listener/read monitoring and restricted mobile/web API keys.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Cloudinary: credit alerts and lifecycle cleanup for deleted project/user files.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Brevo: sending-volume and bounce/complaint monitoring.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Sentry: inbound filters, sampling and maximum spend thresholds so one fault cannot generate an uncontrolled bill.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Stripe: Radar/3DS settings, dispute monitoring, webhook reconciliation and fee reporting by product flow.</w:t>
      </w:r>
    </w:p>
    <w:p>
      <w:pPr>
        <w:spacing w:before="280" w:after="40"/>
      </w:pPr>
      <w:r>
        <w:rPr>
          <w:rFonts w:ascii="Aptos" w:hAnsi="Aptos"/>
          <w:b/>
          <w:color w:val="4338CA"/>
          <w:sz w:val="17"/>
        </w:rPr>
        <w:t>06  /  COST PLAN</w:t>
      </w:r>
    </w:p>
    <w:p>
      <w:pPr>
        <w:pStyle w:val="Heading1"/>
      </w:pPr>
      <w:r>
        <w:t>What is excluded</w:t>
      </w:r>
    </w:p>
    <w:p>
      <w:pPr>
        <w:spacing w:after="200"/>
      </w:pPr>
      <w:r>
        <w:rPr>
          <w:rFonts w:ascii="Aptos" w:hAnsi="Aptos"/>
          <w:b w:val="0"/>
          <w:color w:val="66637A"/>
          <w:sz w:val="21"/>
        </w:rPr>
        <w:t>This plan intentionally focuses on external service subscriptions and APIs.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Development, design, testing, deployment, DevOps, customer support and incident-response labour.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Sales, advertising, social media, content production and customer acquisition.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Company accounting, legal advice, insurance, data-protection consultancy and general corporate overhead.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User devices, test phones, laptops, broadband and office costs.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VAT and corporation/tax treatment.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Refund principal, engineer compensation, chargeback principal and customer credits.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Enterprise support contracts, penetration testing or compliance certification unless separately purchased.</w:t>
      </w:r>
    </w:p>
    <w:p>
      <w:pPr>
        <w:pStyle w:val="ListBullet"/>
        <w:spacing w:after="80"/>
        <w:ind w:left="605" w:hanging="259"/>
      </w:pPr>
      <w:r>
        <w:rPr>
          <w:rFonts w:ascii="Aptos" w:hAnsi="Aptos"/>
          <w:b w:val="0"/>
          <w:color w:val="1D1B35"/>
          <w:sz w:val="20"/>
        </w:rPr>
        <w:t>Any supplier not currently evidenced in the web/mobile source or deliberately added after this plan.</w:t>
      </w:r>
    </w:p>
    <w:p>
      <w:pPr>
        <w:spacing w:before="120" w:after="180"/>
        <w:ind w:left="173" w:right="173"/>
        <w:shd w:fill="FFF0EF"/>
        <w:pBdr>
          <w:left w:val="single" w:sz="22" w:space="8" w:color="A3342C"/>
        </w:pBdr>
      </w:pPr>
      <w:r>
        <w:rPr>
          <w:rFonts w:ascii="Aptos" w:hAnsi="Aptos"/>
          <w:b/>
          <w:color w:val="A3342C"/>
          <w:sz w:val="17"/>
        </w:rPr>
        <w:t>FINANCIAL INTERPRETATION</w:t>
        <w:br/>
      </w:r>
      <w:r>
        <w:rPr>
          <w:rFonts w:ascii="Aptos" w:hAnsi="Aptos"/>
          <w:b w:val="0"/>
          <w:color w:val="1D1B35"/>
          <w:sz w:val="20"/>
        </w:rPr>
        <w:t>The £190 launch budget is the estimated cost of keeping the technical service stack available, not the total cost of operating the Snatchi business. It should not be used as a profitability figure without labour, tax, support, sales and risk costs.</w:t>
      </w:r>
    </w:p>
    <w:p>
      <w:pPr>
        <w:spacing w:before="280" w:after="40"/>
      </w:pPr>
      <w:r>
        <w:rPr>
          <w:rFonts w:ascii="Aptos" w:hAnsi="Aptos"/>
          <w:b/>
          <w:color w:val="4338CA"/>
          <w:sz w:val="17"/>
        </w:rPr>
        <w:t>07  /  COST PLAN</w:t>
      </w:r>
    </w:p>
    <w:p>
      <w:pPr>
        <w:pStyle w:val="Heading1"/>
      </w:pPr>
      <w:r>
        <w:t>Planning assumptions and sensitivity</w:t>
      </w:r>
    </w:p>
    <w:p>
      <w:pPr>
        <w:spacing w:after="200"/>
      </w:pPr>
      <w:r>
        <w:rPr>
          <w:rFonts w:ascii="Aptos" w:hAnsi="Aptos"/>
          <w:b w:val="0"/>
          <w:color w:val="66637A"/>
          <w:sz w:val="21"/>
        </w:rPr>
        <w:t>The figures are designed to be updated from real invoices.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4260"/>
      </w:tblGrid>
      <w:tr>
        <w:trPr>
          <w:tblHeader w:val="true"/>
          <w:cantSplit/>
        </w:trPr>
        <w:tc>
          <w:tcPr>
            <w:tcW w:type="dxa" w:w="230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280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 used</w:t>
            </w:r>
          </w:p>
        </w:tc>
        <w:tc>
          <w:tcPr>
            <w:tcW w:type="dxa" w:w="4260"/>
            <w:shd w:fill="2420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Sensitivity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FX rate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US$1.30 = £1.00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A 10% weaker pound raises USD-denominated lines by roughly 11%.</w:t>
            </w:r>
          </w:p>
        </w:tc>
      </w:tr>
      <w:tr>
        <w:trPr>
          <w:cantSplit/>
        </w:trPr>
        <w:tc>
          <w:tcPr>
            <w:tcW w:type="dxa" w:w="23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VAT</w:t>
            </w:r>
          </w:p>
        </w:tc>
        <w:tc>
          <w:tcPr>
            <w:tcW w:type="dxa" w:w="28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Excluded</w:t>
            </w:r>
          </w:p>
        </w:tc>
        <w:tc>
          <w:tcPr>
            <w:tcW w:type="dxa" w:w="42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UK invoices may add VAT or apply reverse-charge/accounting treatment.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Month length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Supplier published monthly price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Hourly database totals vary by month and region.</w:t>
            </w:r>
          </w:p>
        </w:tc>
      </w:tr>
      <w:tr>
        <w:trPr>
          <w:cantSplit/>
        </w:trPr>
        <w:tc>
          <w:tcPr>
            <w:tcW w:type="dxa" w:w="23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Production region</w:t>
            </w:r>
          </w:p>
        </w:tc>
        <w:tc>
          <w:tcPr>
            <w:tcW w:type="dxa" w:w="28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No region-specific uplift modelled</w:t>
            </w:r>
          </w:p>
        </w:tc>
        <w:tc>
          <w:tcPr>
            <w:tcW w:type="dxa" w:w="42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MongoDB, Firebase and egress can differ by selected region/provider.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Cloudinary launch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Free tier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Plus is US$99/month (£76 planning value) once required.</w:t>
            </w:r>
          </w:p>
        </w:tc>
      </w:tr>
      <w:tr>
        <w:trPr>
          <w:cantSplit/>
        </w:trPr>
        <w:tc>
          <w:tcPr>
            <w:tcW w:type="dxa" w:w="23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Payment card</w:t>
            </w:r>
          </w:p>
        </w:tc>
        <w:tc>
          <w:tcPr>
            <w:tcW w:type="dxa" w:w="280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Standard UK card</w:t>
            </w:r>
          </w:p>
        </w:tc>
        <w:tc>
          <w:tcPr>
            <w:tcW w:type="dxa" w:w="4260"/>
            <w:shd w:fill="F7F6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Premium/international cards and conversion cost more.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Contingency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20% of service subtotal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D1B35"/>
                <w:sz w:val="16"/>
              </w:rPr>
              <w:t>Covers usage and FX variance, not major tier changes or incidents.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D1B35"/>
          <w:sz w:val="21"/>
        </w:rPr>
        <w:t>For budgeting, refresh supplier prices and the FX rate immediately before PlasmaPro approves contracts. Replace planning allowances with actual invoices after launch and retain the scenario model for forward forecasting.</w:t>
      </w:r>
    </w:p>
    <w:p>
      <w:pPr>
        <w:spacing w:before="280" w:after="40"/>
      </w:pPr>
      <w:r>
        <w:rPr>
          <w:rFonts w:ascii="Aptos" w:hAnsi="Aptos"/>
          <w:b/>
          <w:color w:val="4338CA"/>
          <w:sz w:val="17"/>
        </w:rPr>
        <w:t>08  /  COST PLAN</w:t>
      </w:r>
    </w:p>
    <w:p>
      <w:pPr>
        <w:pStyle w:val="Heading1"/>
      </w:pPr>
      <w:r>
        <w:t>Official pricing sources</w:t>
      </w:r>
    </w:p>
    <w:p>
      <w:pPr>
        <w:spacing w:after="200"/>
      </w:pPr>
      <w:r>
        <w:rPr>
          <w:rFonts w:ascii="Aptos" w:hAnsi="Aptos"/>
          <w:b w:val="0"/>
          <w:color w:val="66637A"/>
          <w:sz w:val="21"/>
        </w:rPr>
        <w:t>Primary supplier sources reviewed on 22 August 2026.</w:t>
      </w:r>
    </w:p>
    <w:p>
      <w:pPr>
        <w:spacing w:after="100"/>
        <w:ind w:left="259"/>
      </w:pPr>
      <w:r>
        <w:rPr>
          <w:rFonts w:ascii="Aptos" w:hAnsi="Aptos"/>
          <w:b/>
          <w:color w:val="242057"/>
          <w:sz w:val="18"/>
        </w:rPr>
        <w:t xml:space="preserve">Vercel — Pro Plan pricing. </w:t>
      </w:r>
      <w:r>
        <w:rPr>
          <w:rFonts w:ascii="Aptos" w:hAnsi="Aptos"/>
          <w:b w:val="0"/>
          <w:color w:val="1D1B35"/>
          <w:sz w:val="18"/>
        </w:rPr>
        <w:t>Pro is US$20/month with one deploying seat and US$20 usage credit; additional paid seats are US$20/month.</w:t>
      </w:r>
      <w:r>
        <w:rPr>
          <w:rFonts w:ascii="Aptos" w:hAnsi="Aptos"/>
          <w:b w:val="0"/>
          <w:color w:val="4338CA"/>
          <w:sz w:val="17"/>
        </w:rPr>
        <w:br/>
        <w:t>https://vercel.com/pricing</w:t>
      </w:r>
    </w:p>
    <w:p>
      <w:pPr>
        <w:spacing w:after="100"/>
        <w:ind w:left="259"/>
      </w:pPr>
      <w:r>
        <w:rPr>
          <w:rFonts w:ascii="Aptos" w:hAnsi="Aptos"/>
          <w:b/>
          <w:color w:val="242057"/>
          <w:sz w:val="18"/>
        </w:rPr>
        <w:t xml:space="preserve">MongoDB — Atlas pricing. </w:t>
      </w:r>
      <w:r>
        <w:rPr>
          <w:rFonts w:ascii="Aptos" w:hAnsi="Aptos"/>
          <w:b w:val="0"/>
          <w:color w:val="1D1B35"/>
          <w:sz w:val="18"/>
        </w:rPr>
        <w:t>Dedicated production tiers start at US$0.08/hour / approximately US$56.94 per month; final price depends on provider, region, storage and backup.</w:t>
      </w:r>
      <w:r>
        <w:rPr>
          <w:rFonts w:ascii="Aptos" w:hAnsi="Aptos"/>
          <w:b w:val="0"/>
          <w:color w:val="4338CA"/>
          <w:sz w:val="17"/>
        </w:rPr>
        <w:br/>
        <w:t>https://www.mongodb.com/pricing</w:t>
      </w:r>
    </w:p>
    <w:p>
      <w:pPr>
        <w:spacing w:after="100"/>
        <w:ind w:left="259"/>
      </w:pPr>
      <w:r>
        <w:rPr>
          <w:rFonts w:ascii="Aptos" w:hAnsi="Aptos"/>
          <w:b/>
          <w:color w:val="242057"/>
          <w:sz w:val="18"/>
        </w:rPr>
        <w:t xml:space="preserve">Firebase — Pricing and Firestore billing. </w:t>
      </w:r>
      <w:r>
        <w:rPr>
          <w:rFonts w:ascii="Aptos" w:hAnsi="Aptos"/>
          <w:b w:val="0"/>
          <w:color w:val="1D1B35"/>
          <w:sz w:val="18"/>
        </w:rPr>
        <w:t>FCM and several products are no-cost; Blaze retains free quotas and charges usage above them.</w:t>
      </w:r>
      <w:r>
        <w:rPr>
          <w:rFonts w:ascii="Aptos" w:hAnsi="Aptos"/>
          <w:b w:val="0"/>
          <w:color w:val="4338CA"/>
          <w:sz w:val="17"/>
        </w:rPr>
        <w:br/>
        <w:t>https://firebase.google.com/pricing</w:t>
      </w:r>
    </w:p>
    <w:p>
      <w:pPr>
        <w:spacing w:after="100"/>
        <w:ind w:left="259"/>
      </w:pPr>
      <w:r>
        <w:rPr>
          <w:rFonts w:ascii="Aptos" w:hAnsi="Aptos"/>
          <w:b/>
          <w:color w:val="242057"/>
          <w:sz w:val="18"/>
        </w:rPr>
        <w:t xml:space="preserve">Cloudinary — Image and Video API plans. </w:t>
      </w:r>
      <w:r>
        <w:rPr>
          <w:rFonts w:ascii="Aptos" w:hAnsi="Aptos"/>
          <w:b w:val="0"/>
          <w:color w:val="1D1B35"/>
          <w:sz w:val="18"/>
        </w:rPr>
        <w:t>Free includes 25 monthly credits; Plus is US$99/month or US$89/month on annual billing; Advanced is US$249/month.</w:t>
      </w:r>
      <w:r>
        <w:rPr>
          <w:rFonts w:ascii="Aptos" w:hAnsi="Aptos"/>
          <w:b w:val="0"/>
          <w:color w:val="4338CA"/>
          <w:sz w:val="17"/>
        </w:rPr>
        <w:br/>
        <w:t>https://cloudinary.com/pricing</w:t>
      </w:r>
    </w:p>
    <w:p>
      <w:pPr>
        <w:spacing w:after="100"/>
        <w:ind w:left="259"/>
      </w:pPr>
      <w:r>
        <w:rPr>
          <w:rFonts w:ascii="Aptos" w:hAnsi="Aptos"/>
          <w:b/>
          <w:color w:val="242057"/>
          <w:sz w:val="18"/>
        </w:rPr>
        <w:t xml:space="preserve">Brevo — Plan overview. </w:t>
      </w:r>
      <w:r>
        <w:rPr>
          <w:rFonts w:ascii="Aptos" w:hAnsi="Aptos"/>
          <w:b w:val="0"/>
          <w:color w:val="1D1B35"/>
          <w:sz w:val="18"/>
        </w:rPr>
        <w:t>Free permits 300 daily sends; Starter begins at US$9/month for 5,000 monthly emails.</w:t>
      </w:r>
      <w:r>
        <w:rPr>
          <w:rFonts w:ascii="Aptos" w:hAnsi="Aptos"/>
          <w:b w:val="0"/>
          <w:color w:val="4338CA"/>
          <w:sz w:val="17"/>
        </w:rPr>
        <w:br/>
        <w:t>https://help.brevo.com/hc/en-us/articles/208589409-About-Brevo-s-pricing-plans</w:t>
      </w:r>
    </w:p>
    <w:p>
      <w:pPr>
        <w:spacing w:after="100"/>
        <w:ind w:left="259"/>
      </w:pPr>
      <w:r>
        <w:rPr>
          <w:rFonts w:ascii="Aptos" w:hAnsi="Aptos"/>
          <w:b/>
          <w:color w:val="242057"/>
          <w:sz w:val="18"/>
        </w:rPr>
        <w:t xml:space="preserve">Sentry — Pricing. </w:t>
      </w:r>
      <w:r>
        <w:rPr>
          <w:rFonts w:ascii="Aptos" w:hAnsi="Aptos"/>
          <w:b w:val="0"/>
          <w:color w:val="1D1B35"/>
          <w:sz w:val="18"/>
        </w:rPr>
        <w:t>Developer is free for one user; Team is US$26/month and includes 50,000 errors plus published telemetry quotas.</w:t>
      </w:r>
      <w:r>
        <w:rPr>
          <w:rFonts w:ascii="Aptos" w:hAnsi="Aptos"/>
          <w:b w:val="0"/>
          <w:color w:val="4338CA"/>
          <w:sz w:val="17"/>
        </w:rPr>
        <w:br/>
        <w:t>https://sentry.io/pricing/</w:t>
      </w:r>
    </w:p>
    <w:p>
      <w:pPr>
        <w:spacing w:after="100"/>
        <w:ind w:left="259"/>
      </w:pPr>
      <w:r>
        <w:rPr>
          <w:rFonts w:ascii="Aptos" w:hAnsi="Aptos"/>
          <w:b/>
          <w:color w:val="242057"/>
          <w:sz w:val="18"/>
        </w:rPr>
        <w:t xml:space="preserve">Stripe — UK Payments pricing. </w:t>
      </w:r>
      <w:r>
        <w:rPr>
          <w:rFonts w:ascii="Aptos" w:hAnsi="Aptos"/>
          <w:b w:val="0"/>
          <w:color w:val="1D1B35"/>
          <w:sz w:val="18"/>
        </w:rPr>
        <w:t>Standard UK cards are 1.5% + £0.20; other card types, disputes and currency conversion have different fees.</w:t>
      </w:r>
      <w:r>
        <w:rPr>
          <w:rFonts w:ascii="Aptos" w:hAnsi="Aptos"/>
          <w:b w:val="0"/>
          <w:color w:val="4338CA"/>
          <w:sz w:val="17"/>
        </w:rPr>
        <w:br/>
        <w:t>https://stripe.com/gb/pricing</w:t>
      </w:r>
    </w:p>
    <w:p>
      <w:pPr>
        <w:spacing w:after="100"/>
        <w:ind w:left="259"/>
      </w:pPr>
      <w:r>
        <w:rPr>
          <w:rFonts w:ascii="Aptos" w:hAnsi="Aptos"/>
          <w:b/>
          <w:color w:val="242057"/>
          <w:sz w:val="18"/>
        </w:rPr>
        <w:t xml:space="preserve">Stripe — Billing pricing. </w:t>
      </w:r>
      <w:r>
        <w:rPr>
          <w:rFonts w:ascii="Aptos" w:hAnsi="Aptos"/>
          <w:b w:val="0"/>
          <w:color w:val="1D1B35"/>
          <w:sz w:val="18"/>
        </w:rPr>
        <w:t>Pay-as-you-go recurring Billing is 0.7% of Billing volume.</w:t>
      </w:r>
      <w:r>
        <w:rPr>
          <w:rFonts w:ascii="Aptos" w:hAnsi="Aptos"/>
          <w:b w:val="0"/>
          <w:color w:val="4338CA"/>
          <w:sz w:val="17"/>
        </w:rPr>
        <w:br/>
        <w:t>https://stripe.com/gb/billing/pricing</w:t>
      </w:r>
    </w:p>
    <w:p>
      <w:pPr>
        <w:spacing w:after="100"/>
        <w:ind w:left="259"/>
      </w:pPr>
      <w:r>
        <w:rPr>
          <w:rFonts w:ascii="Aptos" w:hAnsi="Aptos"/>
          <w:b/>
          <w:color w:val="242057"/>
          <w:sz w:val="18"/>
        </w:rPr>
        <w:t xml:space="preserve">Stripe — Connect pricing. </w:t>
      </w:r>
      <w:r>
        <w:rPr>
          <w:rFonts w:ascii="Aptos" w:hAnsi="Aptos"/>
          <w:b w:val="0"/>
          <w:color w:val="1D1B35"/>
          <w:sz w:val="18"/>
        </w:rPr>
        <w:t>When the platform handles pricing, UK planning rates include £2 per monthly active account and 0.25% + £0.10 per payout.</w:t>
      </w:r>
      <w:r>
        <w:rPr>
          <w:rFonts w:ascii="Aptos" w:hAnsi="Aptos"/>
          <w:b w:val="0"/>
          <w:color w:val="4338CA"/>
          <w:sz w:val="17"/>
        </w:rPr>
        <w:br/>
        <w:t>https://stripe.com/gb/connect/pricing</w:t>
      </w:r>
    </w:p>
    <w:p>
      <w:pPr>
        <w:spacing w:after="100"/>
        <w:ind w:left="259"/>
      </w:pPr>
      <w:r>
        <w:rPr>
          <w:rFonts w:ascii="Aptos" w:hAnsi="Aptos"/>
          <w:b/>
          <w:color w:val="242057"/>
          <w:sz w:val="18"/>
        </w:rPr>
        <w:t xml:space="preserve">Apple — Developer Program membership. </w:t>
      </w:r>
      <w:r>
        <w:rPr>
          <w:rFonts w:ascii="Aptos" w:hAnsi="Aptos"/>
          <w:b w:val="0"/>
          <w:color w:val="1D1B35"/>
          <w:sz w:val="18"/>
        </w:rPr>
        <w:t>US$99 per membership year or local-currency equivalent.</w:t>
      </w:r>
      <w:r>
        <w:rPr>
          <w:rFonts w:ascii="Aptos" w:hAnsi="Aptos"/>
          <w:b w:val="0"/>
          <w:color w:val="4338CA"/>
          <w:sz w:val="17"/>
        </w:rPr>
        <w:br/>
        <w:t>https://developer.apple.com/programs/whats-included/</w:t>
      </w:r>
    </w:p>
    <w:p>
      <w:pPr>
        <w:spacing w:after="100"/>
        <w:ind w:left="259"/>
      </w:pPr>
      <w:r>
        <w:rPr>
          <w:rFonts w:ascii="Aptos" w:hAnsi="Aptos"/>
          <w:b/>
          <w:color w:val="242057"/>
          <w:sz w:val="18"/>
        </w:rPr>
        <w:t xml:space="preserve">Google Play — Developer registration. </w:t>
      </w:r>
      <w:r>
        <w:rPr>
          <w:rFonts w:ascii="Aptos" w:hAnsi="Aptos"/>
          <w:b w:val="0"/>
          <w:color w:val="1D1B35"/>
          <w:sz w:val="18"/>
        </w:rPr>
        <w:t>US$25 one-time registration fee.</w:t>
      </w:r>
      <w:r>
        <w:rPr>
          <w:rFonts w:ascii="Aptos" w:hAnsi="Aptos"/>
          <w:b w:val="0"/>
          <w:color w:val="4338CA"/>
          <w:sz w:val="17"/>
        </w:rPr>
        <w:br/>
        <w:t>https://support.google.com/googleplay/android-developer/answer/6112435</w:t>
      </w:r>
    </w:p>
    <w:p>
      <w:pPr>
        <w:spacing w:after="100"/>
        <w:ind w:left="259"/>
      </w:pPr>
      <w:r>
        <w:rPr>
          <w:rFonts w:ascii="Aptos" w:hAnsi="Aptos"/>
          <w:b/>
          <w:color w:val="242057"/>
          <w:sz w:val="18"/>
        </w:rPr>
        <w:t xml:space="preserve">Google Maps Platform — Pricing. </w:t>
      </w:r>
      <w:r>
        <w:rPr>
          <w:rFonts w:ascii="Aptos" w:hAnsi="Aptos"/>
          <w:b w:val="0"/>
          <w:color w:val="1D1B35"/>
          <w:sz w:val="18"/>
        </w:rPr>
        <w:t>Free calls vary by SKU; paid use is metered and converted to local billing currency.</w:t>
      </w:r>
      <w:r>
        <w:rPr>
          <w:rFonts w:ascii="Aptos" w:hAnsi="Aptos"/>
          <w:b w:val="0"/>
          <w:color w:val="4338CA"/>
          <w:sz w:val="17"/>
        </w:rPr>
        <w:br/>
        <w:t>https://mapsplatform.google.com/pricing/</w:t>
      </w:r>
    </w:p>
    <w:p>
      <w:pPr>
        <w:spacing w:after="100"/>
        <w:ind w:left="259"/>
      </w:pPr>
      <w:r>
        <w:rPr>
          <w:rFonts w:ascii="Aptos" w:hAnsi="Aptos"/>
          <w:b/>
          <w:color w:val="242057"/>
          <w:sz w:val="18"/>
        </w:rPr>
        <w:t xml:space="preserve">Cloudflare — Plans. </w:t>
      </w:r>
      <w:r>
        <w:rPr>
          <w:rFonts w:ascii="Aptos" w:hAnsi="Aptos"/>
          <w:b w:val="0"/>
          <w:color w:val="1D1B35"/>
          <w:sz w:val="18"/>
        </w:rPr>
        <w:t>Free includes DNS, CDN, universal SSL and baseline protection; Pro is US$20/month annually or US$25 month-to-month.</w:t>
      </w:r>
      <w:r>
        <w:rPr>
          <w:rFonts w:ascii="Aptos" w:hAnsi="Aptos"/>
          <w:b w:val="0"/>
          <w:color w:val="4338CA"/>
          <w:sz w:val="17"/>
        </w:rPr>
        <w:br/>
        <w:t>https://www.cloudflare.com/plans/</w:t>
      </w:r>
    </w:p>
    <w:p>
      <w:pPr>
        <w:spacing w:before="240"/>
      </w:pPr>
      <w:r>
        <w:rPr>
          <w:rFonts w:ascii="Aptos" w:hAnsi="Aptos"/>
          <w:b/>
          <w:color w:val="4338CA"/>
          <w:sz w:val="18"/>
        </w:rPr>
        <w:t>Document status</w:t>
      </w:r>
    </w:p>
    <w:p>
      <w:r>
        <w:rPr>
          <w:rFonts w:ascii="Aptos" w:hAnsi="Aptos"/>
          <w:b w:val="0"/>
          <w:color w:val="66637A"/>
          <w:sz w:val="17"/>
        </w:rPr>
        <w:t>Planning estimate for PlasmaPro stakeholder review. Not a binding quotation, tax opinion or guarantee of supplier pricing. All prices and product terms can change; confirm them in the supplier account before purchase.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37A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66637A"/>
        <w:sz w:val="16"/>
      </w:rPr>
      <w:t>SNATCHI  /  EXTERNAL SERVICE COST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1D1B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20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338C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20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Snatchi External Service Operating Cost Plan</dc:title>
  <dc:subject>External subscriptions, APIs and cloud services for PlasmaPro</dc:subject>
  <dc:creator>Suftnet</dc:creator>
  <cp:keywords>Snatchi, PlasmaPro, operating cost, SaaS, cloud, API, Stripe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