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00"/>
      </w:pPr>
      <w:r>
        <w:rPr>
          <w:rFonts w:ascii="Aptos" w:hAnsi="Aptos"/>
          <w:b/>
          <w:color w:val="4338CA"/>
          <w:sz w:val="20"/>
        </w:rPr>
        <w:t>COMMERCIAL PRICING MEMO</w:t>
      </w:r>
    </w:p>
    <w:p>
      <w:pPr>
        <w:spacing w:after="120"/>
      </w:pPr>
      <w:r>
        <w:rPr>
          <w:rFonts w:ascii="Aptos Display" w:hAnsi="Aptos Display"/>
          <w:b/>
          <w:color w:val="242057"/>
          <w:sz w:val="56"/>
        </w:rPr>
        <w:t>Recommended Subscription Pricing</w:t>
        <w:br/>
        <w:t>for Snatchi</w:t>
      </w:r>
    </w:p>
    <w:p>
      <w:pPr>
        <w:spacing w:after="320"/>
        <w:pBdr>
          <w:bottom w:val="single" w:sz="18" w:space="6" w:color="4338CA"/>
        </w:pBdr>
      </w:pPr>
      <w:r>
        <w:rPr>
          <w:rFonts w:ascii="Aptos" w:hAnsi="Aptos"/>
          <w:b w:val="0"/>
          <w:color w:val="66637A"/>
          <w:sz w:val="26"/>
        </w:rPr>
        <w:t>A launch pricing structure designed to cover external operating costs and create room for sustainable growth</w:t>
      </w:r>
    </w:p>
    <w:p>
      <w:pPr>
        <w:spacing w:after="40"/>
      </w:pPr>
      <w:r>
        <w:rPr>
          <w:rFonts w:ascii="Aptos" w:hAnsi="Aptos"/>
          <w:b/>
          <w:color w:val="4338CA"/>
          <w:sz w:val="19"/>
        </w:rPr>
        <w:t xml:space="preserve">PREPARED FOR  </w:t>
      </w:r>
      <w:r>
        <w:rPr>
          <w:rFonts w:ascii="Aptos" w:hAnsi="Aptos"/>
          <w:b w:val="0"/>
          <w:color w:val="1D1B35"/>
          <w:sz w:val="19"/>
        </w:rPr>
        <w:t>PlasmaPro Ltd</w:t>
      </w:r>
    </w:p>
    <w:p>
      <w:pPr>
        <w:spacing w:after="40"/>
      </w:pPr>
      <w:r>
        <w:rPr>
          <w:rFonts w:ascii="Aptos" w:hAnsi="Aptos"/>
          <w:b/>
          <w:color w:val="4338CA"/>
          <w:sz w:val="19"/>
        </w:rPr>
        <w:t xml:space="preserve">PRODUCT  </w:t>
      </w:r>
      <w:r>
        <w:rPr>
          <w:rFonts w:ascii="Aptos" w:hAnsi="Aptos"/>
          <w:b w:val="0"/>
          <w:color w:val="1D1B35"/>
          <w:sz w:val="19"/>
        </w:rPr>
        <w:t>Snatchi</w:t>
      </w:r>
    </w:p>
    <w:p>
      <w:pPr>
        <w:spacing w:after="40"/>
      </w:pPr>
      <w:r>
        <w:rPr>
          <w:rFonts w:ascii="Aptos" w:hAnsi="Aptos"/>
          <w:b/>
          <w:color w:val="4338CA"/>
          <w:sz w:val="19"/>
        </w:rPr>
        <w:t xml:space="preserve">DATE  </w:t>
      </w:r>
      <w:r>
        <w:rPr>
          <w:rFonts w:ascii="Aptos" w:hAnsi="Aptos"/>
          <w:b w:val="0"/>
          <w:color w:val="1D1B35"/>
          <w:sz w:val="19"/>
        </w:rPr>
        <w:t>22 August 2026</w:t>
      </w:r>
    </w:p>
    <w:p>
      <w:pPr>
        <w:spacing w:after="40"/>
      </w:pPr>
      <w:r>
        <w:rPr>
          <w:rFonts w:ascii="Aptos" w:hAnsi="Aptos"/>
          <w:b/>
          <w:color w:val="4338CA"/>
          <w:sz w:val="19"/>
        </w:rPr>
        <w:t xml:space="preserve">PRICING BASIS  </w:t>
      </w:r>
      <w:r>
        <w:rPr>
          <w:rFonts w:ascii="Aptos" w:hAnsi="Aptos"/>
          <w:b w:val="0"/>
          <w:color w:val="1D1B35"/>
          <w:sz w:val="19"/>
        </w:rPr>
        <w:t>External-service cost plan, current plan allowances and Stripe UK fee assumptions</w:t>
      </w:r>
    </w:p>
    <w:p>
      <w:pPr>
        <w:spacing w:after="40"/>
      </w:pPr>
      <w:r>
        <w:rPr>
          <w:rFonts w:ascii="Aptos" w:hAnsi="Aptos"/>
          <w:b/>
          <w:color w:val="4338CA"/>
          <w:sz w:val="19"/>
        </w:rPr>
        <w:t xml:space="preserve">PRICE PRESENTATION  </w:t>
      </w:r>
      <w:r>
        <w:rPr>
          <w:rFonts w:ascii="Aptos" w:hAnsi="Aptos"/>
          <w:b w:val="0"/>
          <w:color w:val="1D1B35"/>
          <w:sz w:val="19"/>
        </w:rPr>
        <w:t>Recommended prices exclude VAT</w:t>
      </w:r>
    </w:p>
    <w:p>
      <w:pPr>
        <w:spacing w:before="120" w:after="180"/>
        <w:ind w:left="173" w:right="173"/>
        <w:shd w:fill="EEECFF"/>
        <w:pBdr>
          <w:left w:val="single" w:sz="22" w:space="8" w:color="4338CA"/>
        </w:pBdr>
      </w:pPr>
      <w:r>
        <w:rPr>
          <w:rFonts w:ascii="Aptos" w:hAnsi="Aptos"/>
          <w:b/>
          <w:color w:val="4338CA"/>
          <w:sz w:val="17"/>
        </w:rPr>
        <w:t>RECOMMENDATION</w:t>
        <w:br/>
      </w:r>
      <w:r>
        <w:rPr>
          <w:rFonts w:ascii="Aptos" w:hAnsi="Aptos"/>
          <w:b w:val="0"/>
          <w:color w:val="1D1B35"/>
          <w:sz w:val="20"/>
        </w:rPr>
        <w:t>Launch Basic at £79 monthly, Premium at £799 every six months, and Premium Plus at £2,990 yearly. This corrects the current inverse pricing structure, creates visible value separation and allows a small customer base to cover the recommended £190 monthly external-service budget.</w:t>
      </w:r>
    </w:p>
    <w:p>
      <w:pPr>
        <w:spacing w:before="280" w:after="40"/>
      </w:pPr>
      <w:r>
        <w:rPr>
          <w:rFonts w:ascii="Aptos" w:hAnsi="Aptos"/>
          <w:b/>
          <w:color w:val="4338CA"/>
          <w:sz w:val="17"/>
        </w:rPr>
        <w:t>01  /  PRICING RECOMMENDATION</w:t>
      </w:r>
    </w:p>
    <w:p>
      <w:pPr>
        <w:pStyle w:val="Heading1"/>
      </w:pPr>
      <w:r>
        <w:t>Executive recommendation</w:t>
      </w:r>
    </w:p>
    <w:p>
      <w:pPr>
        <w:spacing w:after="200"/>
      </w:pPr>
      <w:r>
        <w:rPr>
          <w:rFonts w:ascii="Aptos" w:hAnsi="Aptos"/>
          <w:b w:val="0"/>
          <w:color w:val="66637A"/>
          <w:sz w:val="21"/>
        </w:rPr>
        <w:t>Three commercially distinct plans with progressively stronger contribution.</w:t>
      </w:r>
    </w:p>
    <w:tbl>
      <w:tblPr>
        <w:tblStyle w:val="TableGrid"/>
        <w:tblW w:type="dxa" w:w="9360"/>
        <w:jc w:val="center"/>
        <w:tblLayout w:type="fixed"/>
        <w:tblLook w:firstColumn="1" w:firstRow="1" w:lastColumn="0" w:lastRow="0" w:noHBand="0" w:noVBand="1" w:val="04A0"/>
        <w:tblInd w:w="120" w:type="dxa"/>
      </w:tblPr>
      <w:tblGrid>
        <w:gridCol w:w="1300"/>
        <w:gridCol w:w="1850"/>
        <w:gridCol w:w="1600"/>
        <w:gridCol w:w="1800"/>
        <w:gridCol w:w="2810"/>
      </w:tblGrid>
      <w:tr>
        <w:trPr>
          <w:tblHeader w:val="true"/>
          <w:cantSplit/>
        </w:trPr>
        <w:tc>
          <w:tcPr>
            <w:tcW w:type="dxa" w:w="1300"/>
            <w:shd w:fill="242057"/>
            <w:vAlign w:val="center"/>
            <w:tcMar>
              <w:top w:w="100" w:type="dxa"/>
              <w:start w:w="120" w:type="dxa"/>
              <w:bottom w:w="100" w:type="dxa"/>
              <w:end w:w="120" w:type="dxa"/>
            </w:tcMar>
          </w:tcPr>
          <w:p>
            <w:pPr>
              <w:spacing w:after="0"/>
            </w:pPr>
            <w:r>
              <w:rPr>
                <w:rFonts w:ascii="Aptos" w:hAnsi="Aptos"/>
                <w:b/>
                <w:color w:val="FFFFFF"/>
                <w:sz w:val="17"/>
              </w:rPr>
              <w:t>Plan</w:t>
            </w:r>
          </w:p>
        </w:tc>
        <w:tc>
          <w:tcPr>
            <w:tcW w:type="dxa" w:w="1850"/>
            <w:shd w:fill="242057"/>
            <w:vAlign w:val="center"/>
            <w:tcMar>
              <w:top w:w="100" w:type="dxa"/>
              <w:start w:w="120" w:type="dxa"/>
              <w:bottom w:w="100" w:type="dxa"/>
              <w:end w:w="120" w:type="dxa"/>
            </w:tcMar>
          </w:tcPr>
          <w:p>
            <w:pPr>
              <w:spacing w:after="0"/>
            </w:pPr>
            <w:r>
              <w:rPr>
                <w:rFonts w:ascii="Aptos" w:hAnsi="Aptos"/>
                <w:b/>
                <w:color w:val="FFFFFF"/>
                <w:sz w:val="17"/>
              </w:rPr>
              <w:t>Recommended charge</w:t>
            </w:r>
          </w:p>
        </w:tc>
        <w:tc>
          <w:tcPr>
            <w:tcW w:type="dxa" w:w="1600"/>
            <w:shd w:fill="242057"/>
            <w:vAlign w:val="center"/>
            <w:tcMar>
              <w:top w:w="100" w:type="dxa"/>
              <w:start w:w="120" w:type="dxa"/>
              <w:bottom w:w="100" w:type="dxa"/>
              <w:end w:w="120" w:type="dxa"/>
            </w:tcMar>
          </w:tcPr>
          <w:p>
            <w:pPr>
              <w:spacing w:after="0"/>
            </w:pPr>
            <w:r>
              <w:rPr>
                <w:rFonts w:ascii="Aptos" w:hAnsi="Aptos"/>
                <w:b/>
                <w:color w:val="FFFFFF"/>
                <w:sz w:val="17"/>
              </w:rPr>
              <w:t>Monthly equivalent</w:t>
            </w:r>
          </w:p>
        </w:tc>
        <w:tc>
          <w:tcPr>
            <w:tcW w:type="dxa" w:w="1800"/>
            <w:shd w:fill="242057"/>
            <w:vAlign w:val="center"/>
            <w:tcMar>
              <w:top w:w="100" w:type="dxa"/>
              <w:start w:w="120" w:type="dxa"/>
              <w:bottom w:w="100" w:type="dxa"/>
              <w:end w:w="120" w:type="dxa"/>
            </w:tcMar>
          </w:tcPr>
          <w:p>
            <w:pPr>
              <w:spacing w:after="0"/>
            </w:pPr>
            <w:r>
              <w:rPr>
                <w:rFonts w:ascii="Aptos" w:hAnsi="Aptos"/>
                <w:b/>
                <w:color w:val="FFFFFF"/>
                <w:sz w:val="17"/>
              </w:rPr>
              <w:t>Net after Stripe*</w:t>
            </w:r>
          </w:p>
        </w:tc>
        <w:tc>
          <w:tcPr>
            <w:tcW w:type="dxa" w:w="2810"/>
            <w:shd w:fill="242057"/>
            <w:vAlign w:val="center"/>
            <w:tcMar>
              <w:top w:w="100" w:type="dxa"/>
              <w:start w:w="120" w:type="dxa"/>
              <w:bottom w:w="100" w:type="dxa"/>
              <w:end w:w="120" w:type="dxa"/>
            </w:tcMar>
          </w:tcPr>
          <w:p>
            <w:pPr>
              <w:spacing w:after="0"/>
            </w:pPr>
            <w:r>
              <w:rPr>
                <w:rFonts w:ascii="Aptos" w:hAnsi="Aptos"/>
                <w:b/>
                <w:color w:val="FFFFFF"/>
                <w:sz w:val="17"/>
              </w:rPr>
              <w:t>Target customer</w:t>
            </w:r>
          </w:p>
        </w:tc>
      </w:tr>
      <w:tr>
        <w:trPr>
          <w:cantSplit/>
        </w:trPr>
        <w:tc>
          <w:tcPr>
            <w:tcW w:type="dxa" w:w="1300"/>
            <w:vAlign w:val="center"/>
            <w:tcMar>
              <w:top w:w="100" w:type="dxa"/>
              <w:start w:w="120" w:type="dxa"/>
              <w:bottom w:w="100" w:type="dxa"/>
              <w:end w:w="120" w:type="dxa"/>
            </w:tcMar>
          </w:tcPr>
          <w:p>
            <w:pPr>
              <w:spacing w:after="0"/>
            </w:pPr>
            <w:r>
              <w:rPr>
                <w:rFonts w:ascii="Aptos" w:hAnsi="Aptos"/>
                <w:b w:val="0"/>
                <w:color w:val="1D1B35"/>
                <w:sz w:val="17"/>
              </w:rPr>
              <w:t>Basic</w:t>
            </w:r>
          </w:p>
        </w:tc>
        <w:tc>
          <w:tcPr>
            <w:tcW w:type="dxa" w:w="1850"/>
            <w:vAlign w:val="center"/>
            <w:tcMar>
              <w:top w:w="100" w:type="dxa"/>
              <w:start w:w="120" w:type="dxa"/>
              <w:bottom w:w="100" w:type="dxa"/>
              <w:end w:w="120" w:type="dxa"/>
            </w:tcMar>
          </w:tcPr>
          <w:p>
            <w:pPr>
              <w:spacing w:after="0"/>
            </w:pPr>
            <w:r>
              <w:rPr>
                <w:rFonts w:ascii="Aptos" w:hAnsi="Aptos"/>
                <w:b w:val="0"/>
                <w:color w:val="1D1B35"/>
                <w:sz w:val="17"/>
              </w:rPr>
              <w:t>£79 monthly</w:t>
            </w:r>
          </w:p>
        </w:tc>
        <w:tc>
          <w:tcPr>
            <w:tcW w:type="dxa" w:w="1600"/>
            <w:vAlign w:val="center"/>
            <w:tcMar>
              <w:top w:w="100" w:type="dxa"/>
              <w:start w:w="120" w:type="dxa"/>
              <w:bottom w:w="100" w:type="dxa"/>
              <w:end w:w="120" w:type="dxa"/>
            </w:tcMar>
          </w:tcPr>
          <w:p>
            <w:pPr>
              <w:spacing w:after="0"/>
            </w:pPr>
            <w:r>
              <w:rPr>
                <w:rFonts w:ascii="Aptos" w:hAnsi="Aptos"/>
                <w:b w:val="0"/>
                <w:color w:val="1D1B35"/>
                <w:sz w:val="17"/>
              </w:rPr>
              <w:t>£79.00</w:t>
            </w:r>
          </w:p>
        </w:tc>
        <w:tc>
          <w:tcPr>
            <w:tcW w:type="dxa" w:w="1800"/>
            <w:vAlign w:val="center"/>
            <w:tcMar>
              <w:top w:w="100" w:type="dxa"/>
              <w:start w:w="120" w:type="dxa"/>
              <w:bottom w:w="100" w:type="dxa"/>
              <w:end w:w="120" w:type="dxa"/>
            </w:tcMar>
          </w:tcPr>
          <w:p>
            <w:pPr>
              <w:spacing w:after="0"/>
            </w:pPr>
            <w:r>
              <w:rPr>
                <w:rFonts w:ascii="Aptos" w:hAnsi="Aptos"/>
                <w:b w:val="0"/>
                <w:color w:val="1D1B35"/>
                <w:sz w:val="17"/>
              </w:rPr>
              <w:t>£77.06/month</w:t>
            </w:r>
          </w:p>
        </w:tc>
        <w:tc>
          <w:tcPr>
            <w:tcW w:type="dxa" w:w="2810"/>
            <w:vAlign w:val="center"/>
            <w:tcMar>
              <w:top w:w="100" w:type="dxa"/>
              <w:start w:w="120" w:type="dxa"/>
              <w:bottom w:w="100" w:type="dxa"/>
              <w:end w:w="120" w:type="dxa"/>
            </w:tcMar>
          </w:tcPr>
          <w:p>
            <w:pPr>
              <w:spacing w:after="0"/>
            </w:pPr>
            <w:r>
              <w:rPr>
                <w:rFonts w:ascii="Aptos" w:hAnsi="Aptos"/>
                <w:b w:val="0"/>
                <w:color w:val="1D1B35"/>
                <w:sz w:val="17"/>
              </w:rPr>
              <w:t>Small AV teams and owner-led businesses</w:t>
            </w:r>
          </w:p>
        </w:tc>
      </w:tr>
      <w:tr>
        <w:trPr>
          <w:cantSplit/>
        </w:trPr>
        <w:tc>
          <w:tcPr>
            <w:tcW w:type="dxa" w:w="1300"/>
            <w:shd w:fill="F7F6FC"/>
            <w:vAlign w:val="center"/>
            <w:tcMar>
              <w:top w:w="100" w:type="dxa"/>
              <w:start w:w="120" w:type="dxa"/>
              <w:bottom w:w="100" w:type="dxa"/>
              <w:end w:w="120" w:type="dxa"/>
            </w:tcMar>
          </w:tcPr>
          <w:p>
            <w:pPr>
              <w:spacing w:after="0"/>
            </w:pPr>
            <w:r>
              <w:rPr>
                <w:rFonts w:ascii="Aptos" w:hAnsi="Aptos"/>
                <w:b w:val="0"/>
                <w:color w:val="1D1B35"/>
                <w:sz w:val="17"/>
              </w:rPr>
              <w:t>Premium</w:t>
            </w:r>
          </w:p>
        </w:tc>
        <w:tc>
          <w:tcPr>
            <w:tcW w:type="dxa" w:w="1850"/>
            <w:shd w:fill="F7F6FC"/>
            <w:vAlign w:val="center"/>
            <w:tcMar>
              <w:top w:w="100" w:type="dxa"/>
              <w:start w:w="120" w:type="dxa"/>
              <w:bottom w:w="100" w:type="dxa"/>
              <w:end w:w="120" w:type="dxa"/>
            </w:tcMar>
          </w:tcPr>
          <w:p>
            <w:pPr>
              <w:spacing w:after="0"/>
            </w:pPr>
            <w:r>
              <w:rPr>
                <w:rFonts w:ascii="Aptos" w:hAnsi="Aptos"/>
                <w:b w:val="0"/>
                <w:color w:val="1D1B35"/>
                <w:sz w:val="17"/>
              </w:rPr>
              <w:t>£799 every 6 months</w:t>
            </w:r>
          </w:p>
        </w:tc>
        <w:tc>
          <w:tcPr>
            <w:tcW w:type="dxa" w:w="1600"/>
            <w:shd w:fill="F7F6FC"/>
            <w:vAlign w:val="center"/>
            <w:tcMar>
              <w:top w:w="100" w:type="dxa"/>
              <w:start w:w="120" w:type="dxa"/>
              <w:bottom w:w="100" w:type="dxa"/>
              <w:end w:w="120" w:type="dxa"/>
            </w:tcMar>
          </w:tcPr>
          <w:p>
            <w:pPr>
              <w:spacing w:after="0"/>
            </w:pPr>
            <w:r>
              <w:rPr>
                <w:rFonts w:ascii="Aptos" w:hAnsi="Aptos"/>
                <w:b w:val="0"/>
                <w:color w:val="1D1B35"/>
                <w:sz w:val="17"/>
              </w:rPr>
              <w:t>£133.17</w:t>
            </w:r>
          </w:p>
        </w:tc>
        <w:tc>
          <w:tcPr>
            <w:tcW w:type="dxa" w:w="1800"/>
            <w:shd w:fill="F7F6FC"/>
            <w:vAlign w:val="center"/>
            <w:tcMar>
              <w:top w:w="100" w:type="dxa"/>
              <w:start w:w="120" w:type="dxa"/>
              <w:bottom w:w="100" w:type="dxa"/>
              <w:end w:w="120" w:type="dxa"/>
            </w:tcMar>
          </w:tcPr>
          <w:p>
            <w:pPr>
              <w:spacing w:after="0"/>
            </w:pPr>
            <w:r>
              <w:rPr>
                <w:rFonts w:ascii="Aptos" w:hAnsi="Aptos"/>
                <w:b w:val="0"/>
                <w:color w:val="1D1B35"/>
                <w:sz w:val="17"/>
              </w:rPr>
              <w:t>£130.20/month</w:t>
            </w:r>
          </w:p>
        </w:tc>
        <w:tc>
          <w:tcPr>
            <w:tcW w:type="dxa" w:w="2810"/>
            <w:shd w:fill="F7F6FC"/>
            <w:vAlign w:val="center"/>
            <w:tcMar>
              <w:top w:w="100" w:type="dxa"/>
              <w:start w:w="120" w:type="dxa"/>
              <w:bottom w:w="100" w:type="dxa"/>
              <w:end w:w="120" w:type="dxa"/>
            </w:tcMar>
          </w:tcPr>
          <w:p>
            <w:pPr>
              <w:spacing w:after="0"/>
            </w:pPr>
            <w:r>
              <w:rPr>
                <w:rFonts w:ascii="Aptos" w:hAnsi="Aptos"/>
                <w:b w:val="0"/>
                <w:color w:val="1D1B35"/>
                <w:sz w:val="17"/>
              </w:rPr>
              <w:t>Established integrators with several engineers/managers</w:t>
            </w:r>
          </w:p>
        </w:tc>
      </w:tr>
      <w:tr>
        <w:trPr>
          <w:cantSplit/>
        </w:trPr>
        <w:tc>
          <w:tcPr>
            <w:tcW w:type="dxa" w:w="1300"/>
            <w:vAlign w:val="center"/>
            <w:tcMar>
              <w:top w:w="100" w:type="dxa"/>
              <w:start w:w="120" w:type="dxa"/>
              <w:bottom w:w="100" w:type="dxa"/>
              <w:end w:w="120" w:type="dxa"/>
            </w:tcMar>
          </w:tcPr>
          <w:p>
            <w:pPr>
              <w:spacing w:after="0"/>
            </w:pPr>
            <w:r>
              <w:rPr>
                <w:rFonts w:ascii="Aptos" w:hAnsi="Aptos"/>
                <w:b w:val="0"/>
                <w:color w:val="1D1B35"/>
                <w:sz w:val="17"/>
              </w:rPr>
              <w:t>Premium Plus</w:t>
            </w:r>
          </w:p>
        </w:tc>
        <w:tc>
          <w:tcPr>
            <w:tcW w:type="dxa" w:w="1850"/>
            <w:vAlign w:val="center"/>
            <w:tcMar>
              <w:top w:w="100" w:type="dxa"/>
              <w:start w:w="120" w:type="dxa"/>
              <w:bottom w:w="100" w:type="dxa"/>
              <w:end w:w="120" w:type="dxa"/>
            </w:tcMar>
          </w:tcPr>
          <w:p>
            <w:pPr>
              <w:spacing w:after="0"/>
            </w:pPr>
            <w:r>
              <w:rPr>
                <w:rFonts w:ascii="Aptos" w:hAnsi="Aptos"/>
                <w:b w:val="0"/>
                <w:color w:val="1D1B35"/>
                <w:sz w:val="17"/>
              </w:rPr>
              <w:t>£2,990 yearly</w:t>
            </w:r>
          </w:p>
        </w:tc>
        <w:tc>
          <w:tcPr>
            <w:tcW w:type="dxa" w:w="1600"/>
            <w:vAlign w:val="center"/>
            <w:tcMar>
              <w:top w:w="100" w:type="dxa"/>
              <w:start w:w="120" w:type="dxa"/>
              <w:bottom w:w="100" w:type="dxa"/>
              <w:end w:w="120" w:type="dxa"/>
            </w:tcMar>
          </w:tcPr>
          <w:p>
            <w:pPr>
              <w:spacing w:after="0"/>
            </w:pPr>
            <w:r>
              <w:rPr>
                <w:rFonts w:ascii="Aptos" w:hAnsi="Aptos"/>
                <w:b w:val="0"/>
                <w:color w:val="1D1B35"/>
                <w:sz w:val="17"/>
              </w:rPr>
              <w:t>£249.17</w:t>
            </w:r>
          </w:p>
        </w:tc>
        <w:tc>
          <w:tcPr>
            <w:tcW w:type="dxa" w:w="1800"/>
            <w:vAlign w:val="center"/>
            <w:tcMar>
              <w:top w:w="100" w:type="dxa"/>
              <w:start w:w="120" w:type="dxa"/>
              <w:bottom w:w="100" w:type="dxa"/>
              <w:end w:w="120" w:type="dxa"/>
            </w:tcMar>
          </w:tcPr>
          <w:p>
            <w:pPr>
              <w:spacing w:after="0"/>
            </w:pPr>
            <w:r>
              <w:rPr>
                <w:rFonts w:ascii="Aptos" w:hAnsi="Aptos"/>
                <w:b w:val="0"/>
                <w:color w:val="1D1B35"/>
                <w:sz w:val="17"/>
              </w:rPr>
              <w:t>£243.67/month</w:t>
            </w:r>
          </w:p>
        </w:tc>
        <w:tc>
          <w:tcPr>
            <w:tcW w:type="dxa" w:w="2810"/>
            <w:vAlign w:val="center"/>
            <w:tcMar>
              <w:top w:w="100" w:type="dxa"/>
              <w:start w:w="120" w:type="dxa"/>
              <w:bottom w:w="100" w:type="dxa"/>
              <w:end w:w="120" w:type="dxa"/>
            </w:tcMar>
          </w:tcPr>
          <w:p>
            <w:pPr>
              <w:spacing w:after="0"/>
            </w:pPr>
            <w:r>
              <w:rPr>
                <w:rFonts w:ascii="Aptos" w:hAnsi="Aptos"/>
                <w:b w:val="0"/>
                <w:color w:val="1D1B35"/>
                <w:sz w:val="17"/>
              </w:rPr>
              <w:t>Larger organisations and multi-team operations</w:t>
            </w:r>
          </w:p>
        </w:tc>
      </w:tr>
    </w:tbl>
    <w:p>
      <w:pPr>
        <w:spacing w:after="0"/>
      </w:pPr>
    </w:p>
    <w:p>
      <w:r>
        <w:rPr>
          <w:rFonts w:ascii="Aptos" w:hAnsi="Aptos"/>
          <w:b w:val="0"/>
          <w:color w:val="66637A"/>
          <w:sz w:val="16"/>
        </w:rPr>
        <w:t>* Assumes a standard UK card and combines Stripe Payments at 1.5% + £0.20 with Stripe Billing at 0.7%. Excludes VAT, refunds, disputes and labour.</w:t>
      </w:r>
    </w:p>
    <w:p>
      <w:pPr>
        <w:spacing w:before="120" w:after="180"/>
        <w:ind w:left="173" w:right="173"/>
        <w:shd w:fill="FFF5E6"/>
        <w:pBdr>
          <w:left w:val="single" w:sz="22" w:space="8" w:color="9B5C08"/>
        </w:pBdr>
      </w:pPr>
      <w:r>
        <w:rPr>
          <w:rFonts w:ascii="Aptos" w:hAnsi="Aptos"/>
          <w:b/>
          <w:color w:val="9B5C08"/>
          <w:sz w:val="17"/>
        </w:rPr>
        <w:t>WHY CHANGE IS NECESSARY</w:t>
        <w:br/>
      </w:r>
      <w:r>
        <w:rPr>
          <w:rFonts w:ascii="Aptos" w:hAnsi="Aptos"/>
          <w:b w:val="0"/>
          <w:color w:val="1D1B35"/>
          <w:sz w:val="20"/>
        </w:rPr>
        <w:t>The current Premium (£250 per six months) and Premium Plus (£500 per year) both cost about £41.67 per month—less than the £50 monthly Basic plan—despite offering substantially more projects, members, uploads and file capacity. That structure weakens upgrade logic and leaves insufficient room for support and growth.</w:t>
      </w:r>
    </w:p>
    <w:p>
      <w:pPr>
        <w:spacing w:before="280" w:after="40"/>
      </w:pPr>
      <w:r>
        <w:rPr>
          <w:rFonts w:ascii="Aptos" w:hAnsi="Aptos"/>
          <w:b/>
          <w:color w:val="4338CA"/>
          <w:sz w:val="17"/>
        </w:rPr>
        <w:t>02  /  PRICING RECOMMENDATION</w:t>
      </w:r>
    </w:p>
    <w:p>
      <w:pPr>
        <w:pStyle w:val="Heading1"/>
      </w:pPr>
      <w:r>
        <w:t>Recommended plan structure</w:t>
      </w:r>
    </w:p>
    <w:p>
      <w:pPr>
        <w:spacing w:after="200"/>
      </w:pPr>
      <w:r>
        <w:rPr>
          <w:rFonts w:ascii="Aptos" w:hAnsi="Aptos"/>
          <w:b w:val="0"/>
          <w:color w:val="66637A"/>
          <w:sz w:val="21"/>
        </w:rPr>
        <w:t>The customer should understand the difference without needing a sales explanation.</w:t>
      </w:r>
    </w:p>
    <w:p>
      <w:pPr>
        <w:pStyle w:val="Heading2"/>
      </w:pPr>
      <w:r>
        <w:t>Basic — £79 per month</w:t>
      </w:r>
    </w:p>
    <w:p>
      <w:pPr>
        <w:pStyle w:val="ListBullet"/>
        <w:spacing w:after="80"/>
        <w:ind w:left="605" w:hanging="259"/>
      </w:pPr>
      <w:r>
        <w:rPr>
          <w:rFonts w:ascii="Aptos" w:hAnsi="Aptos"/>
          <w:b w:val="0"/>
          <w:color w:val="1D1B35"/>
          <w:sz w:val="20"/>
        </w:rPr>
        <w:t>Up to 25 active projects.</w:t>
      </w:r>
    </w:p>
    <w:p>
      <w:pPr>
        <w:pStyle w:val="ListBullet"/>
        <w:spacing w:after="80"/>
        <w:ind w:left="605" w:hanging="259"/>
      </w:pPr>
      <w:r>
        <w:rPr>
          <w:rFonts w:ascii="Aptos" w:hAnsi="Aptos"/>
          <w:b w:val="0"/>
          <w:color w:val="1D1B35"/>
          <w:sz w:val="20"/>
        </w:rPr>
        <w:t>Up to 10 active organisation members, including the owner, managers and engineers.</w:t>
      </w:r>
    </w:p>
    <w:p>
      <w:pPr>
        <w:pStyle w:val="ListBullet"/>
        <w:spacing w:after="80"/>
        <w:ind w:left="605" w:hanging="259"/>
      </w:pPr>
      <w:r>
        <w:rPr>
          <w:rFonts w:ascii="Aptos" w:hAnsi="Aptos"/>
          <w:b w:val="0"/>
          <w:color w:val="1D1B35"/>
          <w:sz w:val="20"/>
        </w:rPr>
        <w:t>Up to 100 document uploads per billing period and 10MB per file.</w:t>
      </w:r>
    </w:p>
    <w:p>
      <w:pPr>
        <w:pStyle w:val="ListBullet"/>
        <w:spacing w:after="80"/>
        <w:ind w:left="605" w:hanging="259"/>
      </w:pPr>
      <w:r>
        <w:rPr>
          <w:rFonts w:ascii="Aptos" w:hAnsi="Aptos"/>
          <w:b w:val="0"/>
          <w:color w:val="1D1B35"/>
          <w:sz w:val="20"/>
        </w:rPr>
        <w:t>All core project, booking, communication and invoice workflows.</w:t>
      </w:r>
    </w:p>
    <w:p>
      <w:pPr>
        <w:pStyle w:val="ListBullet"/>
        <w:spacing w:after="80"/>
        <w:ind w:left="605" w:hanging="259"/>
      </w:pPr>
      <w:r>
        <w:rPr>
          <w:rFonts w:ascii="Aptos" w:hAnsi="Aptos"/>
          <w:b w:val="0"/>
          <w:color w:val="1D1B35"/>
          <w:sz w:val="20"/>
        </w:rPr>
        <w:t>Standard email support during business hours.</w:t>
      </w:r>
    </w:p>
    <w:p>
      <w:pPr>
        <w:pStyle w:val="ListBullet"/>
        <w:spacing w:after="80"/>
        <w:ind w:left="605" w:hanging="259"/>
      </w:pPr>
      <w:r>
        <w:rPr>
          <w:rFonts w:ascii="Aptos" w:hAnsi="Aptos"/>
          <w:b w:val="0"/>
          <w:color w:val="1D1B35"/>
          <w:sz w:val="20"/>
        </w:rPr>
        <w:t>Positioning: a complete operational starting point, not a restricted trial product.</w:t>
      </w:r>
    </w:p>
    <w:p>
      <w:pPr>
        <w:pStyle w:val="Heading2"/>
      </w:pPr>
      <w:r>
        <w:t>Premium — £799 every six months</w:t>
      </w:r>
    </w:p>
    <w:p>
      <w:pPr>
        <w:pStyle w:val="ListBullet"/>
        <w:spacing w:after="80"/>
        <w:ind w:left="605" w:hanging="259"/>
      </w:pPr>
      <w:r>
        <w:rPr>
          <w:rFonts w:ascii="Aptos" w:hAnsi="Aptos"/>
          <w:b w:val="0"/>
          <w:color w:val="1D1B35"/>
          <w:sz w:val="20"/>
        </w:rPr>
        <w:t>Up to 75 active projects.</w:t>
      </w:r>
    </w:p>
    <w:p>
      <w:pPr>
        <w:pStyle w:val="ListBullet"/>
        <w:spacing w:after="80"/>
        <w:ind w:left="605" w:hanging="259"/>
      </w:pPr>
      <w:r>
        <w:rPr>
          <w:rFonts w:ascii="Aptos" w:hAnsi="Aptos"/>
          <w:b w:val="0"/>
          <w:color w:val="1D1B35"/>
          <w:sz w:val="20"/>
        </w:rPr>
        <w:t>Up to 30 active organisation members.</w:t>
      </w:r>
    </w:p>
    <w:p>
      <w:pPr>
        <w:pStyle w:val="ListBullet"/>
        <w:spacing w:after="80"/>
        <w:ind w:left="605" w:hanging="259"/>
      </w:pPr>
      <w:r>
        <w:rPr>
          <w:rFonts w:ascii="Aptos" w:hAnsi="Aptos"/>
          <w:b w:val="0"/>
          <w:color w:val="1D1B35"/>
          <w:sz w:val="20"/>
        </w:rPr>
        <w:t>Up to 500 document uploads per billing period and 25MB per file.</w:t>
      </w:r>
    </w:p>
    <w:p>
      <w:pPr>
        <w:pStyle w:val="ListBullet"/>
        <w:spacing w:after="80"/>
        <w:ind w:left="605" w:hanging="259"/>
      </w:pPr>
      <w:r>
        <w:rPr>
          <w:rFonts w:ascii="Aptos" w:hAnsi="Aptos"/>
          <w:b w:val="0"/>
          <w:color w:val="1D1B35"/>
          <w:sz w:val="20"/>
        </w:rPr>
        <w:t>All core Snatchi functionality.</w:t>
      </w:r>
    </w:p>
    <w:p>
      <w:pPr>
        <w:pStyle w:val="ListBullet"/>
        <w:spacing w:after="80"/>
        <w:ind w:left="605" w:hanging="259"/>
      </w:pPr>
      <w:r>
        <w:rPr>
          <w:rFonts w:ascii="Aptos" w:hAnsi="Aptos"/>
          <w:b w:val="0"/>
          <w:color w:val="1D1B35"/>
          <w:sz w:val="20"/>
        </w:rPr>
        <w:t>Priority email support.</w:t>
      </w:r>
    </w:p>
    <w:p>
      <w:pPr>
        <w:pStyle w:val="ListBullet"/>
        <w:spacing w:after="80"/>
        <w:ind w:left="605" w:hanging="259"/>
      </w:pPr>
      <w:r>
        <w:rPr>
          <w:rFonts w:ascii="Aptos" w:hAnsi="Aptos"/>
          <w:b w:val="0"/>
          <w:color w:val="1D1B35"/>
          <w:sz w:val="20"/>
        </w:rPr>
        <w:t>Positioning: the recommended plan for established AV integrators running several concurrent teams.</w:t>
      </w:r>
    </w:p>
    <w:p>
      <w:pPr>
        <w:pStyle w:val="Heading2"/>
      </w:pPr>
      <w:r>
        <w:t>Premium Plus — £2,990 per year</w:t>
      </w:r>
    </w:p>
    <w:p>
      <w:pPr>
        <w:pStyle w:val="ListBullet"/>
        <w:spacing w:after="80"/>
        <w:ind w:left="605" w:hanging="259"/>
      </w:pPr>
      <w:r>
        <w:rPr>
          <w:rFonts w:ascii="Aptos" w:hAnsi="Aptos"/>
          <w:b w:val="0"/>
          <w:color w:val="1D1B35"/>
          <w:sz w:val="20"/>
        </w:rPr>
        <w:t>Up to 250 active projects.</w:t>
      </w:r>
    </w:p>
    <w:p>
      <w:pPr>
        <w:pStyle w:val="ListBullet"/>
        <w:spacing w:after="80"/>
        <w:ind w:left="605" w:hanging="259"/>
      </w:pPr>
      <w:r>
        <w:rPr>
          <w:rFonts w:ascii="Aptos" w:hAnsi="Aptos"/>
          <w:b w:val="0"/>
          <w:color w:val="1D1B35"/>
          <w:sz w:val="20"/>
        </w:rPr>
        <w:t>Up to 100 active organisation members.</w:t>
      </w:r>
    </w:p>
    <w:p>
      <w:pPr>
        <w:pStyle w:val="ListBullet"/>
        <w:spacing w:after="80"/>
        <w:ind w:left="605" w:hanging="259"/>
      </w:pPr>
      <w:r>
        <w:rPr>
          <w:rFonts w:ascii="Aptos" w:hAnsi="Aptos"/>
          <w:b w:val="0"/>
          <w:color w:val="1D1B35"/>
          <w:sz w:val="20"/>
        </w:rPr>
        <w:t>Up to 2,000 document uploads per billing period and 50MB per file.</w:t>
      </w:r>
    </w:p>
    <w:p>
      <w:pPr>
        <w:pStyle w:val="ListBullet"/>
        <w:spacing w:after="80"/>
        <w:ind w:left="605" w:hanging="259"/>
      </w:pPr>
      <w:r>
        <w:rPr>
          <w:rFonts w:ascii="Aptos" w:hAnsi="Aptos"/>
          <w:b w:val="0"/>
          <w:color w:val="1D1B35"/>
          <w:sz w:val="20"/>
        </w:rPr>
        <w:t>All core Snatchi functionality.</w:t>
      </w:r>
    </w:p>
    <w:p>
      <w:pPr>
        <w:pStyle w:val="ListBullet"/>
        <w:spacing w:after="80"/>
        <w:ind w:left="605" w:hanging="259"/>
      </w:pPr>
      <w:r>
        <w:rPr>
          <w:rFonts w:ascii="Aptos" w:hAnsi="Aptos"/>
          <w:b w:val="0"/>
          <w:color w:val="1D1B35"/>
          <w:sz w:val="20"/>
        </w:rPr>
        <w:t>Priority support and the natural home for future advanced capabilities.</w:t>
      </w:r>
    </w:p>
    <w:p>
      <w:pPr>
        <w:pStyle w:val="ListBullet"/>
        <w:spacing w:after="80"/>
        <w:ind w:left="605" w:hanging="259"/>
      </w:pPr>
      <w:r>
        <w:rPr>
          <w:rFonts w:ascii="Aptos" w:hAnsi="Aptos"/>
          <w:b w:val="0"/>
          <w:color w:val="1D1B35"/>
          <w:sz w:val="20"/>
        </w:rPr>
        <w:t>Positioning: a high-capacity operational platform for larger organisations, not a discounted version of Premium.</w:t>
      </w:r>
    </w:p>
    <w:p>
      <w:r>
        <w:rPr>
          <w:rFonts w:ascii="Aptos" w:hAnsi="Aptos"/>
          <w:b w:val="0"/>
          <w:color w:val="1D1B35"/>
          <w:sz w:val="21"/>
        </w:rPr>
        <w:t>The commercial difference is based on measurable capacity rather than speculative features. This keeps launch promises enforceable while allowing PlasmaPro to add higher-value capabilities incrementally.</w:t>
      </w:r>
    </w:p>
    <w:p>
      <w:pPr>
        <w:spacing w:before="280" w:after="40"/>
      </w:pPr>
      <w:r>
        <w:rPr>
          <w:rFonts w:ascii="Aptos" w:hAnsi="Aptos"/>
          <w:b/>
          <w:color w:val="4338CA"/>
          <w:sz w:val="17"/>
        </w:rPr>
        <w:t>03  /  PRICING RECOMMENDATION</w:t>
      </w:r>
    </w:p>
    <w:p>
      <w:pPr>
        <w:pStyle w:val="Heading1"/>
      </w:pPr>
      <w:r>
        <w:t>Contribution and external-cost coverage</w:t>
      </w:r>
    </w:p>
    <w:p>
      <w:pPr>
        <w:spacing w:after="200"/>
      </w:pPr>
      <w:r>
        <w:rPr>
          <w:rFonts w:ascii="Aptos" w:hAnsi="Aptos"/>
          <w:b w:val="0"/>
          <w:color w:val="66637A"/>
          <w:sz w:val="21"/>
        </w:rPr>
        <w:t>What each customer contributes after estimated Stripe subscription fees.</w:t>
      </w:r>
    </w:p>
    <w:tbl>
      <w:tblPr>
        <w:tblStyle w:val="TableGrid"/>
        <w:tblW w:type="dxa" w:w="9360"/>
        <w:jc w:val="center"/>
        <w:tblLayout w:type="fixed"/>
        <w:tblLook w:firstColumn="1" w:firstRow="1" w:lastColumn="0" w:lastRow="0" w:noHBand="0" w:noVBand="1" w:val="04A0"/>
        <w:tblInd w:w="120" w:type="dxa"/>
      </w:tblPr>
      <w:tblGrid>
        <w:gridCol w:w="1400"/>
        <w:gridCol w:w="1750"/>
        <w:gridCol w:w="1650"/>
        <w:gridCol w:w="2200"/>
        <w:gridCol w:w="2360"/>
      </w:tblGrid>
      <w:tr>
        <w:trPr>
          <w:tblHeader w:val="true"/>
          <w:cantSplit/>
        </w:trPr>
        <w:tc>
          <w:tcPr>
            <w:tcW w:type="dxa" w:w="1400"/>
            <w:shd w:fill="242057"/>
            <w:vAlign w:val="center"/>
            <w:tcMar>
              <w:top w:w="100" w:type="dxa"/>
              <w:start w:w="120" w:type="dxa"/>
              <w:bottom w:w="100" w:type="dxa"/>
              <w:end w:w="120" w:type="dxa"/>
            </w:tcMar>
          </w:tcPr>
          <w:p>
            <w:pPr>
              <w:spacing w:after="0"/>
            </w:pPr>
            <w:r>
              <w:rPr>
                <w:rFonts w:ascii="Aptos" w:hAnsi="Aptos"/>
                <w:b/>
                <w:color w:val="FFFFFF"/>
                <w:sz w:val="17"/>
              </w:rPr>
              <w:t>Plan</w:t>
            </w:r>
          </w:p>
        </w:tc>
        <w:tc>
          <w:tcPr>
            <w:tcW w:type="dxa" w:w="1750"/>
            <w:shd w:fill="242057"/>
            <w:vAlign w:val="center"/>
            <w:tcMar>
              <w:top w:w="100" w:type="dxa"/>
              <w:start w:w="120" w:type="dxa"/>
              <w:bottom w:w="100" w:type="dxa"/>
              <w:end w:w="120" w:type="dxa"/>
            </w:tcMar>
          </w:tcPr>
          <w:p>
            <w:pPr>
              <w:spacing w:after="0"/>
            </w:pPr>
            <w:r>
              <w:rPr>
                <w:rFonts w:ascii="Aptos" w:hAnsi="Aptos"/>
                <w:b/>
                <w:color w:val="FFFFFF"/>
                <w:sz w:val="17"/>
              </w:rPr>
              <w:t>Customer charge</w:t>
            </w:r>
          </w:p>
        </w:tc>
        <w:tc>
          <w:tcPr>
            <w:tcW w:type="dxa" w:w="1650"/>
            <w:shd w:fill="242057"/>
            <w:vAlign w:val="center"/>
            <w:tcMar>
              <w:top w:w="100" w:type="dxa"/>
              <w:start w:w="120" w:type="dxa"/>
              <w:bottom w:w="100" w:type="dxa"/>
              <w:end w:w="120" w:type="dxa"/>
            </w:tcMar>
          </w:tcPr>
          <w:p>
            <w:pPr>
              <w:spacing w:after="0"/>
            </w:pPr>
            <w:r>
              <w:rPr>
                <w:rFonts w:ascii="Aptos" w:hAnsi="Aptos"/>
                <w:b/>
                <w:color w:val="FFFFFF"/>
                <w:sz w:val="17"/>
              </w:rPr>
              <w:t>Est. Stripe fee</w:t>
            </w:r>
          </w:p>
        </w:tc>
        <w:tc>
          <w:tcPr>
            <w:tcW w:type="dxa" w:w="2200"/>
            <w:shd w:fill="242057"/>
            <w:vAlign w:val="center"/>
            <w:tcMar>
              <w:top w:w="100" w:type="dxa"/>
              <w:start w:w="120" w:type="dxa"/>
              <w:bottom w:w="100" w:type="dxa"/>
              <w:end w:w="120" w:type="dxa"/>
            </w:tcMar>
          </w:tcPr>
          <w:p>
            <w:pPr>
              <w:spacing w:after="0"/>
            </w:pPr>
            <w:r>
              <w:rPr>
                <w:rFonts w:ascii="Aptos" w:hAnsi="Aptos"/>
                <w:b/>
                <w:color w:val="FFFFFF"/>
                <w:sz w:val="17"/>
              </w:rPr>
              <w:t>Net per billing event</w:t>
            </w:r>
          </w:p>
        </w:tc>
        <w:tc>
          <w:tcPr>
            <w:tcW w:type="dxa" w:w="2360"/>
            <w:shd w:fill="242057"/>
            <w:vAlign w:val="center"/>
            <w:tcMar>
              <w:top w:w="100" w:type="dxa"/>
              <w:start w:w="120" w:type="dxa"/>
              <w:bottom w:w="100" w:type="dxa"/>
              <w:end w:w="120" w:type="dxa"/>
            </w:tcMar>
          </w:tcPr>
          <w:p>
            <w:pPr>
              <w:spacing w:after="0"/>
            </w:pPr>
            <w:r>
              <w:rPr>
                <w:rFonts w:ascii="Aptos" w:hAnsi="Aptos"/>
                <w:b/>
                <w:color w:val="FFFFFF"/>
                <w:sz w:val="17"/>
              </w:rPr>
              <w:t>Net monthly equivalent</w:t>
            </w:r>
          </w:p>
        </w:tc>
      </w:tr>
      <w:tr>
        <w:trPr>
          <w:cantSplit/>
        </w:trPr>
        <w:tc>
          <w:tcPr>
            <w:tcW w:type="dxa" w:w="1400"/>
            <w:vAlign w:val="center"/>
            <w:tcMar>
              <w:top w:w="100" w:type="dxa"/>
              <w:start w:w="120" w:type="dxa"/>
              <w:bottom w:w="100" w:type="dxa"/>
              <w:end w:w="120" w:type="dxa"/>
            </w:tcMar>
          </w:tcPr>
          <w:p>
            <w:pPr>
              <w:spacing w:after="0"/>
            </w:pPr>
            <w:r>
              <w:rPr>
                <w:rFonts w:ascii="Aptos" w:hAnsi="Aptos"/>
                <w:b w:val="0"/>
                <w:color w:val="1D1B35"/>
                <w:sz w:val="17"/>
              </w:rPr>
              <w:t>Basic</w:t>
            </w:r>
          </w:p>
        </w:tc>
        <w:tc>
          <w:tcPr>
            <w:tcW w:type="dxa" w:w="1750"/>
            <w:vAlign w:val="center"/>
            <w:tcMar>
              <w:top w:w="100" w:type="dxa"/>
              <w:start w:w="120" w:type="dxa"/>
              <w:bottom w:w="100" w:type="dxa"/>
              <w:end w:w="120" w:type="dxa"/>
            </w:tcMar>
          </w:tcPr>
          <w:p>
            <w:pPr>
              <w:spacing w:after="0"/>
            </w:pPr>
            <w:r>
              <w:rPr>
                <w:rFonts w:ascii="Aptos" w:hAnsi="Aptos"/>
                <w:b w:val="0"/>
                <w:color w:val="1D1B35"/>
                <w:sz w:val="17"/>
              </w:rPr>
              <w:t>£79</w:t>
            </w:r>
          </w:p>
        </w:tc>
        <w:tc>
          <w:tcPr>
            <w:tcW w:type="dxa" w:w="1650"/>
            <w:vAlign w:val="center"/>
            <w:tcMar>
              <w:top w:w="100" w:type="dxa"/>
              <w:start w:w="120" w:type="dxa"/>
              <w:bottom w:w="100" w:type="dxa"/>
              <w:end w:w="120" w:type="dxa"/>
            </w:tcMar>
          </w:tcPr>
          <w:p>
            <w:pPr>
              <w:spacing w:after="0"/>
            </w:pPr>
            <w:r>
              <w:rPr>
                <w:rFonts w:ascii="Aptos" w:hAnsi="Aptos"/>
                <w:b w:val="0"/>
                <w:color w:val="1D1B35"/>
                <w:sz w:val="17"/>
              </w:rPr>
              <w:t>£1.94</w:t>
            </w:r>
          </w:p>
        </w:tc>
        <w:tc>
          <w:tcPr>
            <w:tcW w:type="dxa" w:w="2200"/>
            <w:vAlign w:val="center"/>
            <w:tcMar>
              <w:top w:w="100" w:type="dxa"/>
              <w:start w:w="120" w:type="dxa"/>
              <w:bottom w:w="100" w:type="dxa"/>
              <w:end w:w="120" w:type="dxa"/>
            </w:tcMar>
          </w:tcPr>
          <w:p>
            <w:pPr>
              <w:spacing w:after="0"/>
            </w:pPr>
            <w:r>
              <w:rPr>
                <w:rFonts w:ascii="Aptos" w:hAnsi="Aptos"/>
                <w:b w:val="0"/>
                <w:color w:val="1D1B35"/>
                <w:sz w:val="17"/>
              </w:rPr>
              <w:t>£77.06</w:t>
            </w:r>
          </w:p>
        </w:tc>
        <w:tc>
          <w:tcPr>
            <w:tcW w:type="dxa" w:w="2360"/>
            <w:vAlign w:val="center"/>
            <w:tcMar>
              <w:top w:w="100" w:type="dxa"/>
              <w:start w:w="120" w:type="dxa"/>
              <w:bottom w:w="100" w:type="dxa"/>
              <w:end w:w="120" w:type="dxa"/>
            </w:tcMar>
          </w:tcPr>
          <w:p>
            <w:pPr>
              <w:spacing w:after="0"/>
            </w:pPr>
            <w:r>
              <w:rPr>
                <w:rFonts w:ascii="Aptos" w:hAnsi="Aptos"/>
                <w:b w:val="0"/>
                <w:color w:val="1D1B35"/>
                <w:sz w:val="17"/>
              </w:rPr>
              <w:t>£77.06</w:t>
            </w:r>
          </w:p>
        </w:tc>
      </w:tr>
      <w:tr>
        <w:trPr>
          <w:cantSplit/>
        </w:trPr>
        <w:tc>
          <w:tcPr>
            <w:tcW w:type="dxa" w:w="1400"/>
            <w:shd w:fill="F7F6FC"/>
            <w:vAlign w:val="center"/>
            <w:tcMar>
              <w:top w:w="100" w:type="dxa"/>
              <w:start w:w="120" w:type="dxa"/>
              <w:bottom w:w="100" w:type="dxa"/>
              <w:end w:w="120" w:type="dxa"/>
            </w:tcMar>
          </w:tcPr>
          <w:p>
            <w:pPr>
              <w:spacing w:after="0"/>
            </w:pPr>
            <w:r>
              <w:rPr>
                <w:rFonts w:ascii="Aptos" w:hAnsi="Aptos"/>
                <w:b w:val="0"/>
                <w:color w:val="1D1B35"/>
                <w:sz w:val="17"/>
              </w:rPr>
              <w:t>Premium</w:t>
            </w:r>
          </w:p>
        </w:tc>
        <w:tc>
          <w:tcPr>
            <w:tcW w:type="dxa" w:w="1750"/>
            <w:shd w:fill="F7F6FC"/>
            <w:vAlign w:val="center"/>
            <w:tcMar>
              <w:top w:w="100" w:type="dxa"/>
              <w:start w:w="120" w:type="dxa"/>
              <w:bottom w:w="100" w:type="dxa"/>
              <w:end w:w="120" w:type="dxa"/>
            </w:tcMar>
          </w:tcPr>
          <w:p>
            <w:pPr>
              <w:spacing w:after="0"/>
            </w:pPr>
            <w:r>
              <w:rPr>
                <w:rFonts w:ascii="Aptos" w:hAnsi="Aptos"/>
                <w:b w:val="0"/>
                <w:color w:val="1D1B35"/>
                <w:sz w:val="17"/>
              </w:rPr>
              <w:t>£799</w:t>
            </w:r>
          </w:p>
        </w:tc>
        <w:tc>
          <w:tcPr>
            <w:tcW w:type="dxa" w:w="1650"/>
            <w:shd w:fill="F7F6FC"/>
            <w:vAlign w:val="center"/>
            <w:tcMar>
              <w:top w:w="100" w:type="dxa"/>
              <w:start w:w="120" w:type="dxa"/>
              <w:bottom w:w="100" w:type="dxa"/>
              <w:end w:w="120" w:type="dxa"/>
            </w:tcMar>
          </w:tcPr>
          <w:p>
            <w:pPr>
              <w:spacing w:after="0"/>
            </w:pPr>
            <w:r>
              <w:rPr>
                <w:rFonts w:ascii="Aptos" w:hAnsi="Aptos"/>
                <w:b w:val="0"/>
                <w:color w:val="1D1B35"/>
                <w:sz w:val="17"/>
              </w:rPr>
              <w:t>£17.78</w:t>
            </w:r>
          </w:p>
        </w:tc>
        <w:tc>
          <w:tcPr>
            <w:tcW w:type="dxa" w:w="2200"/>
            <w:shd w:fill="F7F6FC"/>
            <w:vAlign w:val="center"/>
            <w:tcMar>
              <w:top w:w="100" w:type="dxa"/>
              <w:start w:w="120" w:type="dxa"/>
              <w:bottom w:w="100" w:type="dxa"/>
              <w:end w:w="120" w:type="dxa"/>
            </w:tcMar>
          </w:tcPr>
          <w:p>
            <w:pPr>
              <w:spacing w:after="0"/>
            </w:pPr>
            <w:r>
              <w:rPr>
                <w:rFonts w:ascii="Aptos" w:hAnsi="Aptos"/>
                <w:b w:val="0"/>
                <w:color w:val="1D1B35"/>
                <w:sz w:val="17"/>
              </w:rPr>
              <w:t>£781.22</w:t>
            </w:r>
          </w:p>
        </w:tc>
        <w:tc>
          <w:tcPr>
            <w:tcW w:type="dxa" w:w="2360"/>
            <w:shd w:fill="F7F6FC"/>
            <w:vAlign w:val="center"/>
            <w:tcMar>
              <w:top w:w="100" w:type="dxa"/>
              <w:start w:w="120" w:type="dxa"/>
              <w:bottom w:w="100" w:type="dxa"/>
              <w:end w:w="120" w:type="dxa"/>
            </w:tcMar>
          </w:tcPr>
          <w:p>
            <w:pPr>
              <w:spacing w:after="0"/>
            </w:pPr>
            <w:r>
              <w:rPr>
                <w:rFonts w:ascii="Aptos" w:hAnsi="Aptos"/>
                <w:b w:val="0"/>
                <w:color w:val="1D1B35"/>
                <w:sz w:val="17"/>
              </w:rPr>
              <w:t>£130.20</w:t>
            </w:r>
          </w:p>
        </w:tc>
      </w:tr>
      <w:tr>
        <w:trPr>
          <w:cantSplit/>
        </w:trPr>
        <w:tc>
          <w:tcPr>
            <w:tcW w:type="dxa" w:w="1400"/>
            <w:vAlign w:val="center"/>
            <w:tcMar>
              <w:top w:w="100" w:type="dxa"/>
              <w:start w:w="120" w:type="dxa"/>
              <w:bottom w:w="100" w:type="dxa"/>
              <w:end w:w="120" w:type="dxa"/>
            </w:tcMar>
          </w:tcPr>
          <w:p>
            <w:pPr>
              <w:spacing w:after="0"/>
            </w:pPr>
            <w:r>
              <w:rPr>
                <w:rFonts w:ascii="Aptos" w:hAnsi="Aptos"/>
                <w:b w:val="0"/>
                <w:color w:val="1D1B35"/>
                <w:sz w:val="17"/>
              </w:rPr>
              <w:t>Premium Plus</w:t>
            </w:r>
          </w:p>
        </w:tc>
        <w:tc>
          <w:tcPr>
            <w:tcW w:type="dxa" w:w="1750"/>
            <w:vAlign w:val="center"/>
            <w:tcMar>
              <w:top w:w="100" w:type="dxa"/>
              <w:start w:w="120" w:type="dxa"/>
              <w:bottom w:w="100" w:type="dxa"/>
              <w:end w:w="120" w:type="dxa"/>
            </w:tcMar>
          </w:tcPr>
          <w:p>
            <w:pPr>
              <w:spacing w:after="0"/>
            </w:pPr>
            <w:r>
              <w:rPr>
                <w:rFonts w:ascii="Aptos" w:hAnsi="Aptos"/>
                <w:b w:val="0"/>
                <w:color w:val="1D1B35"/>
                <w:sz w:val="17"/>
              </w:rPr>
              <w:t>£2,990</w:t>
            </w:r>
          </w:p>
        </w:tc>
        <w:tc>
          <w:tcPr>
            <w:tcW w:type="dxa" w:w="1650"/>
            <w:vAlign w:val="center"/>
            <w:tcMar>
              <w:top w:w="100" w:type="dxa"/>
              <w:start w:w="120" w:type="dxa"/>
              <w:bottom w:w="100" w:type="dxa"/>
              <w:end w:w="120" w:type="dxa"/>
            </w:tcMar>
          </w:tcPr>
          <w:p>
            <w:pPr>
              <w:spacing w:after="0"/>
            </w:pPr>
            <w:r>
              <w:rPr>
                <w:rFonts w:ascii="Aptos" w:hAnsi="Aptos"/>
                <w:b w:val="0"/>
                <w:color w:val="1D1B35"/>
                <w:sz w:val="17"/>
              </w:rPr>
              <w:t>£65.98</w:t>
            </w:r>
          </w:p>
        </w:tc>
        <w:tc>
          <w:tcPr>
            <w:tcW w:type="dxa" w:w="2200"/>
            <w:vAlign w:val="center"/>
            <w:tcMar>
              <w:top w:w="100" w:type="dxa"/>
              <w:start w:w="120" w:type="dxa"/>
              <w:bottom w:w="100" w:type="dxa"/>
              <w:end w:w="120" w:type="dxa"/>
            </w:tcMar>
          </w:tcPr>
          <w:p>
            <w:pPr>
              <w:spacing w:after="0"/>
            </w:pPr>
            <w:r>
              <w:rPr>
                <w:rFonts w:ascii="Aptos" w:hAnsi="Aptos"/>
                <w:b w:val="0"/>
                <w:color w:val="1D1B35"/>
                <w:sz w:val="17"/>
              </w:rPr>
              <w:t>£2,924.02</w:t>
            </w:r>
          </w:p>
        </w:tc>
        <w:tc>
          <w:tcPr>
            <w:tcW w:type="dxa" w:w="2360"/>
            <w:vAlign w:val="center"/>
            <w:tcMar>
              <w:top w:w="100" w:type="dxa"/>
              <w:start w:w="120" w:type="dxa"/>
              <w:bottom w:w="100" w:type="dxa"/>
              <w:end w:w="120" w:type="dxa"/>
            </w:tcMar>
          </w:tcPr>
          <w:p>
            <w:pPr>
              <w:spacing w:after="0"/>
            </w:pPr>
            <w:r>
              <w:rPr>
                <w:rFonts w:ascii="Aptos" w:hAnsi="Aptos"/>
                <w:b w:val="0"/>
                <w:color w:val="1D1B35"/>
                <w:sz w:val="17"/>
              </w:rPr>
              <w:t>£243.67</w:t>
            </w:r>
          </w:p>
        </w:tc>
      </w:tr>
    </w:tbl>
    <w:p>
      <w:pPr>
        <w:spacing w:after="0"/>
      </w:pPr>
    </w:p>
    <w:p>
      <w:r>
        <w:rPr>
          <w:rFonts w:ascii="Aptos" w:hAnsi="Aptos"/>
          <w:b w:val="0"/>
          <w:color w:val="1D1B35"/>
          <w:sz w:val="21"/>
        </w:rPr>
        <w:t>Against the recommended £190 monthly launch external-service budget, the approximate standalone break-even point is three Basic customers, two Premium customers, or one Premium Plus customer. This is technical-service break-even only; a viable business must also cover labour, customer support, tax, sales and risk.</w:t>
      </w:r>
    </w:p>
    <w:p>
      <w:pPr>
        <w:pStyle w:val="Heading2"/>
      </w:pPr>
      <w:r>
        <w:t>Illustrative customer-mix scenarios</w:t>
      </w:r>
    </w:p>
    <w:tbl>
      <w:tblPr>
        <w:tblStyle w:val="TableGrid"/>
        <w:tblW w:type="dxa" w:w="9360"/>
        <w:jc w:val="center"/>
        <w:tblLayout w:type="fixed"/>
        <w:tblLook w:firstColumn="1" w:firstRow="1" w:lastColumn="0" w:lastRow="0" w:noHBand="0" w:noVBand="1" w:val="04A0"/>
        <w:tblInd w:w="120" w:type="dxa"/>
      </w:tblPr>
      <w:tblGrid>
        <w:gridCol w:w="1600"/>
        <w:gridCol w:w="2850"/>
        <w:gridCol w:w="1900"/>
        <w:gridCol w:w="1500"/>
        <w:gridCol w:w="1510"/>
      </w:tblGrid>
      <w:tr>
        <w:trPr>
          <w:tblHeader w:val="true"/>
          <w:cantSplit/>
        </w:trPr>
        <w:tc>
          <w:tcPr>
            <w:tcW w:type="dxa" w:w="1600"/>
            <w:shd w:fill="242057"/>
            <w:vAlign w:val="center"/>
            <w:tcMar>
              <w:top w:w="100" w:type="dxa"/>
              <w:start w:w="120" w:type="dxa"/>
              <w:bottom w:w="100" w:type="dxa"/>
              <w:end w:w="120" w:type="dxa"/>
            </w:tcMar>
          </w:tcPr>
          <w:p>
            <w:pPr>
              <w:spacing w:after="0"/>
            </w:pPr>
            <w:r>
              <w:rPr>
                <w:rFonts w:ascii="Aptos" w:hAnsi="Aptos"/>
                <w:b/>
                <w:color w:val="FFFFFF"/>
                <w:sz w:val="16"/>
              </w:rPr>
              <w:t>Scenario</w:t>
            </w:r>
          </w:p>
        </w:tc>
        <w:tc>
          <w:tcPr>
            <w:tcW w:type="dxa" w:w="2850"/>
            <w:shd w:fill="242057"/>
            <w:vAlign w:val="center"/>
            <w:tcMar>
              <w:top w:w="100" w:type="dxa"/>
              <w:start w:w="120" w:type="dxa"/>
              <w:bottom w:w="100" w:type="dxa"/>
              <w:end w:w="120" w:type="dxa"/>
            </w:tcMar>
          </w:tcPr>
          <w:p>
            <w:pPr>
              <w:spacing w:after="0"/>
            </w:pPr>
            <w:r>
              <w:rPr>
                <w:rFonts w:ascii="Aptos" w:hAnsi="Aptos"/>
                <w:b/>
                <w:color w:val="FFFFFF"/>
                <w:sz w:val="16"/>
              </w:rPr>
              <w:t>Customer mix</w:t>
            </w:r>
          </w:p>
        </w:tc>
        <w:tc>
          <w:tcPr>
            <w:tcW w:type="dxa" w:w="1900"/>
            <w:shd w:fill="242057"/>
            <w:vAlign w:val="center"/>
            <w:tcMar>
              <w:top w:w="100" w:type="dxa"/>
              <w:start w:w="120" w:type="dxa"/>
              <w:bottom w:w="100" w:type="dxa"/>
              <w:end w:w="120" w:type="dxa"/>
            </w:tcMar>
          </w:tcPr>
          <w:p>
            <w:pPr>
              <w:spacing w:after="0"/>
            </w:pPr>
            <w:r>
              <w:rPr>
                <w:rFonts w:ascii="Aptos" w:hAnsi="Aptos"/>
                <w:b/>
                <w:color w:val="FFFFFF"/>
                <w:sz w:val="16"/>
              </w:rPr>
              <w:t>Net subscription revenue</w:t>
            </w:r>
          </w:p>
        </w:tc>
        <w:tc>
          <w:tcPr>
            <w:tcW w:type="dxa" w:w="1500"/>
            <w:shd w:fill="242057"/>
            <w:vAlign w:val="center"/>
            <w:tcMar>
              <w:top w:w="100" w:type="dxa"/>
              <w:start w:w="120" w:type="dxa"/>
              <w:bottom w:w="100" w:type="dxa"/>
              <w:end w:w="120" w:type="dxa"/>
            </w:tcMar>
          </w:tcPr>
          <w:p>
            <w:pPr>
              <w:spacing w:after="0"/>
            </w:pPr>
            <w:r>
              <w:rPr>
                <w:rFonts w:ascii="Aptos" w:hAnsi="Aptos"/>
                <w:b/>
                <w:color w:val="FFFFFF"/>
                <w:sz w:val="16"/>
              </w:rPr>
              <w:t>External services</w:t>
            </w:r>
          </w:p>
        </w:tc>
        <w:tc>
          <w:tcPr>
            <w:tcW w:type="dxa" w:w="1510"/>
            <w:shd w:fill="242057"/>
            <w:vAlign w:val="center"/>
            <w:tcMar>
              <w:top w:w="100" w:type="dxa"/>
              <w:start w:w="120" w:type="dxa"/>
              <w:bottom w:w="100" w:type="dxa"/>
              <w:end w:w="120" w:type="dxa"/>
            </w:tcMar>
          </w:tcPr>
          <w:p>
            <w:pPr>
              <w:spacing w:after="0"/>
            </w:pPr>
            <w:r>
              <w:rPr>
                <w:rFonts w:ascii="Aptos" w:hAnsi="Aptos"/>
                <w:b/>
                <w:color w:val="FFFFFF"/>
                <w:sz w:val="16"/>
              </w:rPr>
              <w:t>Contribution before labour</w:t>
            </w:r>
          </w:p>
        </w:tc>
      </w:tr>
      <w:tr>
        <w:trPr>
          <w:cantSplit/>
        </w:trPr>
        <w:tc>
          <w:tcPr>
            <w:tcW w:type="dxa" w:w="1600"/>
            <w:vAlign w:val="center"/>
            <w:tcMar>
              <w:top w:w="100" w:type="dxa"/>
              <w:start w:w="120" w:type="dxa"/>
              <w:bottom w:w="100" w:type="dxa"/>
              <w:end w:w="120" w:type="dxa"/>
            </w:tcMar>
          </w:tcPr>
          <w:p>
            <w:pPr>
              <w:spacing w:after="0"/>
            </w:pPr>
            <w:r>
              <w:rPr>
                <w:rFonts w:ascii="Aptos" w:hAnsi="Aptos"/>
                <w:b w:val="0"/>
                <w:color w:val="1D1B35"/>
                <w:sz w:val="16"/>
              </w:rPr>
              <w:t>Minimum technical coverage</w:t>
            </w:r>
          </w:p>
        </w:tc>
        <w:tc>
          <w:tcPr>
            <w:tcW w:type="dxa" w:w="2850"/>
            <w:vAlign w:val="center"/>
            <w:tcMar>
              <w:top w:w="100" w:type="dxa"/>
              <w:start w:w="120" w:type="dxa"/>
              <w:bottom w:w="100" w:type="dxa"/>
              <w:end w:w="120" w:type="dxa"/>
            </w:tcMar>
          </w:tcPr>
          <w:p>
            <w:pPr>
              <w:spacing w:after="0"/>
            </w:pPr>
            <w:r>
              <w:rPr>
                <w:rFonts w:ascii="Aptos" w:hAnsi="Aptos"/>
                <w:b w:val="0"/>
                <w:color w:val="1D1B35"/>
                <w:sz w:val="16"/>
              </w:rPr>
              <w:t>3 Basic</w:t>
            </w:r>
          </w:p>
        </w:tc>
        <w:tc>
          <w:tcPr>
            <w:tcW w:type="dxa" w:w="1900"/>
            <w:vAlign w:val="center"/>
            <w:tcMar>
              <w:top w:w="100" w:type="dxa"/>
              <w:start w:w="120" w:type="dxa"/>
              <w:bottom w:w="100" w:type="dxa"/>
              <w:end w:w="120" w:type="dxa"/>
            </w:tcMar>
          </w:tcPr>
          <w:p>
            <w:pPr>
              <w:spacing w:after="0"/>
            </w:pPr>
            <w:r>
              <w:rPr>
                <w:rFonts w:ascii="Aptos" w:hAnsi="Aptos"/>
                <w:b w:val="0"/>
                <w:color w:val="1D1B35"/>
                <w:sz w:val="16"/>
              </w:rPr>
              <w:t>~£231/month</w:t>
            </w:r>
          </w:p>
        </w:tc>
        <w:tc>
          <w:tcPr>
            <w:tcW w:type="dxa" w:w="1500"/>
            <w:vAlign w:val="center"/>
            <w:tcMar>
              <w:top w:w="100" w:type="dxa"/>
              <w:start w:w="120" w:type="dxa"/>
              <w:bottom w:w="100" w:type="dxa"/>
              <w:end w:w="120" w:type="dxa"/>
            </w:tcMar>
          </w:tcPr>
          <w:p>
            <w:pPr>
              <w:spacing w:after="0"/>
            </w:pPr>
            <w:r>
              <w:rPr>
                <w:rFonts w:ascii="Aptos" w:hAnsi="Aptos"/>
                <w:b w:val="0"/>
                <w:color w:val="1D1B35"/>
                <w:sz w:val="16"/>
              </w:rPr>
              <w:t>£190/month</w:t>
            </w:r>
          </w:p>
        </w:tc>
        <w:tc>
          <w:tcPr>
            <w:tcW w:type="dxa" w:w="1510"/>
            <w:vAlign w:val="center"/>
            <w:tcMar>
              <w:top w:w="100" w:type="dxa"/>
              <w:start w:w="120" w:type="dxa"/>
              <w:bottom w:w="100" w:type="dxa"/>
              <w:end w:w="120" w:type="dxa"/>
            </w:tcMar>
          </w:tcPr>
          <w:p>
            <w:pPr>
              <w:spacing w:after="0"/>
            </w:pPr>
            <w:r>
              <w:rPr>
                <w:rFonts w:ascii="Aptos" w:hAnsi="Aptos"/>
                <w:b w:val="0"/>
                <w:color w:val="1D1B35"/>
                <w:sz w:val="16"/>
              </w:rPr>
              <w:t>~£41/month</w:t>
            </w:r>
          </w:p>
        </w:tc>
      </w:tr>
      <w:tr>
        <w:trPr>
          <w:cantSplit/>
        </w:trPr>
        <w:tc>
          <w:tcPr>
            <w:tcW w:type="dxa" w:w="1600"/>
            <w:shd w:fill="F7F6FC"/>
            <w:vAlign w:val="center"/>
            <w:tcMar>
              <w:top w:w="100" w:type="dxa"/>
              <w:start w:w="120" w:type="dxa"/>
              <w:bottom w:w="100" w:type="dxa"/>
              <w:end w:w="120" w:type="dxa"/>
            </w:tcMar>
          </w:tcPr>
          <w:p>
            <w:pPr>
              <w:spacing w:after="0"/>
            </w:pPr>
            <w:r>
              <w:rPr>
                <w:rFonts w:ascii="Aptos" w:hAnsi="Aptos"/>
                <w:b w:val="0"/>
                <w:color w:val="1D1B35"/>
                <w:sz w:val="16"/>
              </w:rPr>
              <w:t>Balanced launch</w:t>
            </w:r>
          </w:p>
        </w:tc>
        <w:tc>
          <w:tcPr>
            <w:tcW w:type="dxa" w:w="2850"/>
            <w:shd w:fill="F7F6FC"/>
            <w:vAlign w:val="center"/>
            <w:tcMar>
              <w:top w:w="100" w:type="dxa"/>
              <w:start w:w="120" w:type="dxa"/>
              <w:bottom w:w="100" w:type="dxa"/>
              <w:end w:w="120" w:type="dxa"/>
            </w:tcMar>
          </w:tcPr>
          <w:p>
            <w:pPr>
              <w:spacing w:after="0"/>
            </w:pPr>
            <w:r>
              <w:rPr>
                <w:rFonts w:ascii="Aptos" w:hAnsi="Aptos"/>
                <w:b w:val="0"/>
                <w:color w:val="1D1B35"/>
                <w:sz w:val="16"/>
              </w:rPr>
              <w:t>10 Basic + 3 Premium + 1 Premium Plus</w:t>
            </w:r>
          </w:p>
        </w:tc>
        <w:tc>
          <w:tcPr>
            <w:tcW w:type="dxa" w:w="1900"/>
            <w:shd w:fill="F7F6FC"/>
            <w:vAlign w:val="center"/>
            <w:tcMar>
              <w:top w:w="100" w:type="dxa"/>
              <w:start w:w="120" w:type="dxa"/>
              <w:bottom w:w="100" w:type="dxa"/>
              <w:end w:w="120" w:type="dxa"/>
            </w:tcMar>
          </w:tcPr>
          <w:p>
            <w:pPr>
              <w:spacing w:after="0"/>
            </w:pPr>
            <w:r>
              <w:rPr>
                <w:rFonts w:ascii="Aptos" w:hAnsi="Aptos"/>
                <w:b w:val="0"/>
                <w:color w:val="1D1B35"/>
                <w:sz w:val="16"/>
              </w:rPr>
              <w:t>~£1,405/month</w:t>
            </w:r>
          </w:p>
        </w:tc>
        <w:tc>
          <w:tcPr>
            <w:tcW w:type="dxa" w:w="1500"/>
            <w:shd w:fill="F7F6FC"/>
            <w:vAlign w:val="center"/>
            <w:tcMar>
              <w:top w:w="100" w:type="dxa"/>
              <w:start w:w="120" w:type="dxa"/>
              <w:bottom w:w="100" w:type="dxa"/>
              <w:end w:w="120" w:type="dxa"/>
            </w:tcMar>
          </w:tcPr>
          <w:p>
            <w:pPr>
              <w:spacing w:after="0"/>
            </w:pPr>
            <w:r>
              <w:rPr>
                <w:rFonts w:ascii="Aptos" w:hAnsi="Aptos"/>
                <w:b w:val="0"/>
                <w:color w:val="1D1B35"/>
                <w:sz w:val="16"/>
              </w:rPr>
              <w:t>£190/month</w:t>
            </w:r>
          </w:p>
        </w:tc>
        <w:tc>
          <w:tcPr>
            <w:tcW w:type="dxa" w:w="1510"/>
            <w:shd w:fill="F7F6FC"/>
            <w:vAlign w:val="center"/>
            <w:tcMar>
              <w:top w:w="100" w:type="dxa"/>
              <w:start w:w="120" w:type="dxa"/>
              <w:bottom w:w="100" w:type="dxa"/>
              <w:end w:w="120" w:type="dxa"/>
            </w:tcMar>
          </w:tcPr>
          <w:p>
            <w:pPr>
              <w:spacing w:after="0"/>
            </w:pPr>
            <w:r>
              <w:rPr>
                <w:rFonts w:ascii="Aptos" w:hAnsi="Aptos"/>
                <w:b w:val="0"/>
                <w:color w:val="1D1B35"/>
                <w:sz w:val="16"/>
              </w:rPr>
              <w:t>~£1,215/month</w:t>
            </w:r>
          </w:p>
        </w:tc>
      </w:tr>
      <w:tr>
        <w:trPr>
          <w:cantSplit/>
        </w:trPr>
        <w:tc>
          <w:tcPr>
            <w:tcW w:type="dxa" w:w="1600"/>
            <w:vAlign w:val="center"/>
            <w:tcMar>
              <w:top w:w="100" w:type="dxa"/>
              <w:start w:w="120" w:type="dxa"/>
              <w:bottom w:w="100" w:type="dxa"/>
              <w:end w:w="120" w:type="dxa"/>
            </w:tcMar>
          </w:tcPr>
          <w:p>
            <w:pPr>
              <w:spacing w:after="0"/>
            </w:pPr>
            <w:r>
              <w:rPr>
                <w:rFonts w:ascii="Aptos" w:hAnsi="Aptos"/>
                <w:b w:val="0"/>
                <w:color w:val="1D1B35"/>
                <w:sz w:val="16"/>
              </w:rPr>
              <w:t>Growth base</w:t>
            </w:r>
          </w:p>
        </w:tc>
        <w:tc>
          <w:tcPr>
            <w:tcW w:type="dxa" w:w="2850"/>
            <w:vAlign w:val="center"/>
            <w:tcMar>
              <w:top w:w="100" w:type="dxa"/>
              <w:start w:w="120" w:type="dxa"/>
              <w:bottom w:w="100" w:type="dxa"/>
              <w:end w:w="120" w:type="dxa"/>
            </w:tcMar>
          </w:tcPr>
          <w:p>
            <w:pPr>
              <w:spacing w:after="0"/>
            </w:pPr>
            <w:r>
              <w:rPr>
                <w:rFonts w:ascii="Aptos" w:hAnsi="Aptos"/>
                <w:b w:val="0"/>
                <w:color w:val="1D1B35"/>
                <w:sz w:val="16"/>
              </w:rPr>
              <w:t>20 Basic + 8 Premium + 2 Premium Plus</w:t>
            </w:r>
          </w:p>
        </w:tc>
        <w:tc>
          <w:tcPr>
            <w:tcW w:type="dxa" w:w="1900"/>
            <w:vAlign w:val="center"/>
            <w:tcMar>
              <w:top w:w="100" w:type="dxa"/>
              <w:start w:w="120" w:type="dxa"/>
              <w:bottom w:w="100" w:type="dxa"/>
              <w:end w:w="120" w:type="dxa"/>
            </w:tcMar>
          </w:tcPr>
          <w:p>
            <w:pPr>
              <w:spacing w:after="0"/>
            </w:pPr>
            <w:r>
              <w:rPr>
                <w:rFonts w:ascii="Aptos" w:hAnsi="Aptos"/>
                <w:b w:val="0"/>
                <w:color w:val="1D1B35"/>
                <w:sz w:val="16"/>
              </w:rPr>
              <w:t>~£3,070/month</w:t>
            </w:r>
          </w:p>
        </w:tc>
        <w:tc>
          <w:tcPr>
            <w:tcW w:type="dxa" w:w="1500"/>
            <w:vAlign w:val="center"/>
            <w:tcMar>
              <w:top w:w="100" w:type="dxa"/>
              <w:start w:w="120" w:type="dxa"/>
              <w:bottom w:w="100" w:type="dxa"/>
              <w:end w:w="120" w:type="dxa"/>
            </w:tcMar>
          </w:tcPr>
          <w:p>
            <w:pPr>
              <w:spacing w:after="0"/>
            </w:pPr>
            <w:r>
              <w:rPr>
                <w:rFonts w:ascii="Aptos" w:hAnsi="Aptos"/>
                <w:b w:val="0"/>
                <w:color w:val="1D1B35"/>
                <w:sz w:val="16"/>
              </w:rPr>
              <w:t>£420/month</w:t>
            </w:r>
          </w:p>
        </w:tc>
        <w:tc>
          <w:tcPr>
            <w:tcW w:type="dxa" w:w="1510"/>
            <w:vAlign w:val="center"/>
            <w:tcMar>
              <w:top w:w="100" w:type="dxa"/>
              <w:start w:w="120" w:type="dxa"/>
              <w:bottom w:w="100" w:type="dxa"/>
              <w:end w:w="120" w:type="dxa"/>
            </w:tcMar>
          </w:tcPr>
          <w:p>
            <w:pPr>
              <w:spacing w:after="0"/>
            </w:pPr>
            <w:r>
              <w:rPr>
                <w:rFonts w:ascii="Aptos" w:hAnsi="Aptos"/>
                <w:b w:val="0"/>
                <w:color w:val="1D1B35"/>
                <w:sz w:val="16"/>
              </w:rPr>
              <w:t>~£2,650/month</w:t>
            </w:r>
          </w:p>
        </w:tc>
      </w:tr>
    </w:tbl>
    <w:p>
      <w:pPr>
        <w:spacing w:after="0"/>
      </w:pPr>
    </w:p>
    <w:p>
      <w:pPr>
        <w:spacing w:before="120" w:after="180"/>
        <w:ind w:left="173" w:right="173"/>
        <w:shd w:fill="FFF0EF"/>
        <w:pBdr>
          <w:left w:val="single" w:sz="22" w:space="8" w:color="A3342C"/>
        </w:pBdr>
      </w:pPr>
      <w:r>
        <w:rPr>
          <w:rFonts w:ascii="Aptos" w:hAnsi="Aptos"/>
          <w:b/>
          <w:color w:val="A3342C"/>
          <w:sz w:val="17"/>
        </w:rPr>
        <w:t>INTERPRETATION</w:t>
        <w:br/>
      </w:r>
      <w:r>
        <w:rPr>
          <w:rFonts w:ascii="Aptos" w:hAnsi="Aptos"/>
          <w:b w:val="0"/>
          <w:color w:val="1D1B35"/>
          <w:sz w:val="20"/>
        </w:rPr>
        <w:t>Contribution before labour is not net profit. The balanced launch scenario leaves meaningful room for support and product work, but PlasmaPro must add its real monthly labour, sales, tax and overhead costs before setting a final profit target.</w:t>
      </w:r>
    </w:p>
    <w:p>
      <w:pPr>
        <w:spacing w:before="280" w:after="40"/>
      </w:pPr>
      <w:r>
        <w:rPr>
          <w:rFonts w:ascii="Aptos" w:hAnsi="Aptos"/>
          <w:b/>
          <w:color w:val="4338CA"/>
          <w:sz w:val="17"/>
        </w:rPr>
        <w:t>04  /  PRICING RECOMMENDATION</w:t>
      </w:r>
    </w:p>
    <w:p>
      <w:pPr>
        <w:pStyle w:val="Heading1"/>
      </w:pPr>
      <w:r>
        <w:t>Founding-customer launch offer</w:t>
      </w:r>
    </w:p>
    <w:p>
      <w:pPr>
        <w:spacing w:after="200"/>
      </w:pPr>
      <w:r>
        <w:rPr>
          <w:rFonts w:ascii="Aptos" w:hAnsi="Aptos"/>
          <w:b w:val="0"/>
          <w:color w:val="66637A"/>
          <w:sz w:val="21"/>
        </w:rPr>
        <w:t>Use a time-limited incentive without permanently damaging the standard price.</w:t>
      </w:r>
    </w:p>
    <w:tbl>
      <w:tblPr>
        <w:tblStyle w:val="TableGrid"/>
        <w:tblW w:type="dxa" w:w="9360"/>
        <w:jc w:val="center"/>
        <w:tblLayout w:type="fixed"/>
        <w:tblLook w:firstColumn="1" w:firstRow="1" w:lastColumn="0" w:lastRow="0" w:noHBand="0" w:noVBand="1" w:val="04A0"/>
        <w:tblInd w:w="120" w:type="dxa"/>
      </w:tblPr>
      <w:tblGrid>
        <w:gridCol w:w="1500"/>
        <w:gridCol w:w="2100"/>
        <w:gridCol w:w="2100"/>
        <w:gridCol w:w="3660"/>
      </w:tblGrid>
      <w:tr>
        <w:trPr>
          <w:tblHeader w:val="true"/>
          <w:cantSplit/>
        </w:trPr>
        <w:tc>
          <w:tcPr>
            <w:tcW w:type="dxa" w:w="1500"/>
            <w:shd w:fill="242057"/>
            <w:vAlign w:val="center"/>
            <w:tcMar>
              <w:top w:w="100" w:type="dxa"/>
              <w:start w:w="120" w:type="dxa"/>
              <w:bottom w:w="100" w:type="dxa"/>
              <w:end w:w="120" w:type="dxa"/>
            </w:tcMar>
          </w:tcPr>
          <w:p>
            <w:pPr>
              <w:spacing w:after="0"/>
            </w:pPr>
            <w:r>
              <w:rPr>
                <w:rFonts w:ascii="Aptos" w:hAnsi="Aptos"/>
                <w:b/>
                <w:color w:val="FFFFFF"/>
                <w:sz w:val="17"/>
              </w:rPr>
              <w:t>Plan</w:t>
            </w:r>
          </w:p>
        </w:tc>
        <w:tc>
          <w:tcPr>
            <w:tcW w:type="dxa" w:w="2100"/>
            <w:shd w:fill="242057"/>
            <w:vAlign w:val="center"/>
            <w:tcMar>
              <w:top w:w="100" w:type="dxa"/>
              <w:start w:w="120" w:type="dxa"/>
              <w:bottom w:w="100" w:type="dxa"/>
              <w:end w:w="120" w:type="dxa"/>
            </w:tcMar>
          </w:tcPr>
          <w:p>
            <w:pPr>
              <w:spacing w:after="0"/>
            </w:pPr>
            <w:r>
              <w:rPr>
                <w:rFonts w:ascii="Aptos" w:hAnsi="Aptos"/>
                <w:b/>
                <w:color w:val="FFFFFF"/>
                <w:sz w:val="17"/>
              </w:rPr>
              <w:t>Founding offer</w:t>
            </w:r>
          </w:p>
        </w:tc>
        <w:tc>
          <w:tcPr>
            <w:tcW w:type="dxa" w:w="2100"/>
            <w:shd w:fill="242057"/>
            <w:vAlign w:val="center"/>
            <w:tcMar>
              <w:top w:w="100" w:type="dxa"/>
              <w:start w:w="120" w:type="dxa"/>
              <w:bottom w:w="100" w:type="dxa"/>
              <w:end w:w="120" w:type="dxa"/>
            </w:tcMar>
          </w:tcPr>
          <w:p>
            <w:pPr>
              <w:spacing w:after="0"/>
            </w:pPr>
            <w:r>
              <w:rPr>
                <w:rFonts w:ascii="Aptos" w:hAnsi="Aptos"/>
                <w:b/>
                <w:color w:val="FFFFFF"/>
                <w:sz w:val="17"/>
              </w:rPr>
              <w:t>Standard renewal</w:t>
            </w:r>
          </w:p>
        </w:tc>
        <w:tc>
          <w:tcPr>
            <w:tcW w:type="dxa" w:w="3660"/>
            <w:shd w:fill="242057"/>
            <w:vAlign w:val="center"/>
            <w:tcMar>
              <w:top w:w="100" w:type="dxa"/>
              <w:start w:w="120" w:type="dxa"/>
              <w:bottom w:w="100" w:type="dxa"/>
              <w:end w:w="120" w:type="dxa"/>
            </w:tcMar>
          </w:tcPr>
          <w:p>
            <w:pPr>
              <w:spacing w:after="0"/>
            </w:pPr>
            <w:r>
              <w:rPr>
                <w:rFonts w:ascii="Aptos" w:hAnsi="Aptos"/>
                <w:b/>
                <w:color w:val="FFFFFF"/>
                <w:sz w:val="17"/>
              </w:rPr>
              <w:t>Maximum offer period</w:t>
            </w:r>
          </w:p>
        </w:tc>
      </w:tr>
      <w:tr>
        <w:trPr>
          <w:cantSplit/>
        </w:trPr>
        <w:tc>
          <w:tcPr>
            <w:tcW w:type="dxa" w:w="1500"/>
            <w:vAlign w:val="center"/>
            <w:tcMar>
              <w:top w:w="100" w:type="dxa"/>
              <w:start w:w="120" w:type="dxa"/>
              <w:bottom w:w="100" w:type="dxa"/>
              <w:end w:w="120" w:type="dxa"/>
            </w:tcMar>
          </w:tcPr>
          <w:p>
            <w:pPr>
              <w:spacing w:after="0"/>
            </w:pPr>
            <w:r>
              <w:rPr>
                <w:rFonts w:ascii="Aptos" w:hAnsi="Aptos"/>
                <w:b w:val="0"/>
                <w:color w:val="1D1B35"/>
                <w:sz w:val="17"/>
              </w:rPr>
              <w:t>Basic</w:t>
            </w:r>
          </w:p>
        </w:tc>
        <w:tc>
          <w:tcPr>
            <w:tcW w:type="dxa" w:w="2100"/>
            <w:vAlign w:val="center"/>
            <w:tcMar>
              <w:top w:w="100" w:type="dxa"/>
              <w:start w:w="120" w:type="dxa"/>
              <w:bottom w:w="100" w:type="dxa"/>
              <w:end w:w="120" w:type="dxa"/>
            </w:tcMar>
          </w:tcPr>
          <w:p>
            <w:pPr>
              <w:spacing w:after="0"/>
            </w:pPr>
            <w:r>
              <w:rPr>
                <w:rFonts w:ascii="Aptos" w:hAnsi="Aptos"/>
                <w:b w:val="0"/>
                <w:color w:val="1D1B35"/>
                <w:sz w:val="17"/>
              </w:rPr>
              <w:t>£59/month</w:t>
            </w:r>
          </w:p>
        </w:tc>
        <w:tc>
          <w:tcPr>
            <w:tcW w:type="dxa" w:w="2100"/>
            <w:vAlign w:val="center"/>
            <w:tcMar>
              <w:top w:w="100" w:type="dxa"/>
              <w:start w:w="120" w:type="dxa"/>
              <w:bottom w:w="100" w:type="dxa"/>
              <w:end w:w="120" w:type="dxa"/>
            </w:tcMar>
          </w:tcPr>
          <w:p>
            <w:pPr>
              <w:spacing w:after="0"/>
            </w:pPr>
            <w:r>
              <w:rPr>
                <w:rFonts w:ascii="Aptos" w:hAnsi="Aptos"/>
                <w:b w:val="0"/>
                <w:color w:val="1D1B35"/>
                <w:sz w:val="17"/>
              </w:rPr>
              <w:t>£79/month</w:t>
            </w:r>
          </w:p>
        </w:tc>
        <w:tc>
          <w:tcPr>
            <w:tcW w:type="dxa" w:w="3660"/>
            <w:vAlign w:val="center"/>
            <w:tcMar>
              <w:top w:w="100" w:type="dxa"/>
              <w:start w:w="120" w:type="dxa"/>
              <w:bottom w:w="100" w:type="dxa"/>
              <w:end w:w="120" w:type="dxa"/>
            </w:tcMar>
          </w:tcPr>
          <w:p>
            <w:pPr>
              <w:spacing w:after="0"/>
            </w:pPr>
            <w:r>
              <w:rPr>
                <w:rFonts w:ascii="Aptos" w:hAnsi="Aptos"/>
                <w:b w:val="0"/>
                <w:color w:val="1D1B35"/>
                <w:sz w:val="17"/>
              </w:rPr>
              <w:t>First 12 months</w:t>
            </w:r>
          </w:p>
        </w:tc>
      </w:tr>
      <w:tr>
        <w:trPr>
          <w:cantSplit/>
        </w:trPr>
        <w:tc>
          <w:tcPr>
            <w:tcW w:type="dxa" w:w="1500"/>
            <w:shd w:fill="F7F6FC"/>
            <w:vAlign w:val="center"/>
            <w:tcMar>
              <w:top w:w="100" w:type="dxa"/>
              <w:start w:w="120" w:type="dxa"/>
              <w:bottom w:w="100" w:type="dxa"/>
              <w:end w:w="120" w:type="dxa"/>
            </w:tcMar>
          </w:tcPr>
          <w:p>
            <w:pPr>
              <w:spacing w:after="0"/>
            </w:pPr>
            <w:r>
              <w:rPr>
                <w:rFonts w:ascii="Aptos" w:hAnsi="Aptos"/>
                <w:b w:val="0"/>
                <w:color w:val="1D1B35"/>
                <w:sz w:val="17"/>
              </w:rPr>
              <w:t>Premium</w:t>
            </w:r>
          </w:p>
        </w:tc>
        <w:tc>
          <w:tcPr>
            <w:tcW w:type="dxa" w:w="2100"/>
            <w:shd w:fill="F7F6FC"/>
            <w:vAlign w:val="center"/>
            <w:tcMar>
              <w:top w:w="100" w:type="dxa"/>
              <w:start w:w="120" w:type="dxa"/>
              <w:bottom w:w="100" w:type="dxa"/>
              <w:end w:w="120" w:type="dxa"/>
            </w:tcMar>
          </w:tcPr>
          <w:p>
            <w:pPr>
              <w:spacing w:after="0"/>
            </w:pPr>
            <w:r>
              <w:rPr>
                <w:rFonts w:ascii="Aptos" w:hAnsi="Aptos"/>
                <w:b w:val="0"/>
                <w:color w:val="1D1B35"/>
                <w:sz w:val="17"/>
              </w:rPr>
              <w:t>£599/6 months</w:t>
            </w:r>
          </w:p>
        </w:tc>
        <w:tc>
          <w:tcPr>
            <w:tcW w:type="dxa" w:w="2100"/>
            <w:shd w:fill="F7F6FC"/>
            <w:vAlign w:val="center"/>
            <w:tcMar>
              <w:top w:w="100" w:type="dxa"/>
              <w:start w:w="120" w:type="dxa"/>
              <w:bottom w:w="100" w:type="dxa"/>
              <w:end w:w="120" w:type="dxa"/>
            </w:tcMar>
          </w:tcPr>
          <w:p>
            <w:pPr>
              <w:spacing w:after="0"/>
            </w:pPr>
            <w:r>
              <w:rPr>
                <w:rFonts w:ascii="Aptos" w:hAnsi="Aptos"/>
                <w:b w:val="0"/>
                <w:color w:val="1D1B35"/>
                <w:sz w:val="17"/>
              </w:rPr>
              <w:t>£799/6 months</w:t>
            </w:r>
          </w:p>
        </w:tc>
        <w:tc>
          <w:tcPr>
            <w:tcW w:type="dxa" w:w="3660"/>
            <w:shd w:fill="F7F6FC"/>
            <w:vAlign w:val="center"/>
            <w:tcMar>
              <w:top w:w="100" w:type="dxa"/>
              <w:start w:w="120" w:type="dxa"/>
              <w:bottom w:w="100" w:type="dxa"/>
              <w:end w:w="120" w:type="dxa"/>
            </w:tcMar>
          </w:tcPr>
          <w:p>
            <w:pPr>
              <w:spacing w:after="0"/>
            </w:pPr>
            <w:r>
              <w:rPr>
                <w:rFonts w:ascii="Aptos" w:hAnsi="Aptos"/>
                <w:b w:val="0"/>
                <w:color w:val="1D1B35"/>
                <w:sz w:val="17"/>
              </w:rPr>
              <w:t>First 6-month term</w:t>
            </w:r>
          </w:p>
        </w:tc>
      </w:tr>
      <w:tr>
        <w:trPr>
          <w:cantSplit/>
        </w:trPr>
        <w:tc>
          <w:tcPr>
            <w:tcW w:type="dxa" w:w="1500"/>
            <w:vAlign w:val="center"/>
            <w:tcMar>
              <w:top w:w="100" w:type="dxa"/>
              <w:start w:w="120" w:type="dxa"/>
              <w:bottom w:w="100" w:type="dxa"/>
              <w:end w:w="120" w:type="dxa"/>
            </w:tcMar>
          </w:tcPr>
          <w:p>
            <w:pPr>
              <w:spacing w:after="0"/>
            </w:pPr>
            <w:r>
              <w:rPr>
                <w:rFonts w:ascii="Aptos" w:hAnsi="Aptos"/>
                <w:b w:val="0"/>
                <w:color w:val="1D1B35"/>
                <w:sz w:val="17"/>
              </w:rPr>
              <w:t>Premium Plus</w:t>
            </w:r>
          </w:p>
        </w:tc>
        <w:tc>
          <w:tcPr>
            <w:tcW w:type="dxa" w:w="2100"/>
            <w:vAlign w:val="center"/>
            <w:tcMar>
              <w:top w:w="100" w:type="dxa"/>
              <w:start w:w="120" w:type="dxa"/>
              <w:bottom w:w="100" w:type="dxa"/>
              <w:end w:w="120" w:type="dxa"/>
            </w:tcMar>
          </w:tcPr>
          <w:p>
            <w:pPr>
              <w:spacing w:after="0"/>
            </w:pPr>
            <w:r>
              <w:rPr>
                <w:rFonts w:ascii="Aptos" w:hAnsi="Aptos"/>
                <w:b w:val="0"/>
                <w:color w:val="1D1B35"/>
                <w:sz w:val="17"/>
              </w:rPr>
              <w:t>£2,390/year</w:t>
            </w:r>
          </w:p>
        </w:tc>
        <w:tc>
          <w:tcPr>
            <w:tcW w:type="dxa" w:w="2100"/>
            <w:vAlign w:val="center"/>
            <w:tcMar>
              <w:top w:w="100" w:type="dxa"/>
              <w:start w:w="120" w:type="dxa"/>
              <w:bottom w:w="100" w:type="dxa"/>
              <w:end w:w="120" w:type="dxa"/>
            </w:tcMar>
          </w:tcPr>
          <w:p>
            <w:pPr>
              <w:spacing w:after="0"/>
            </w:pPr>
            <w:r>
              <w:rPr>
                <w:rFonts w:ascii="Aptos" w:hAnsi="Aptos"/>
                <w:b w:val="0"/>
                <w:color w:val="1D1B35"/>
                <w:sz w:val="17"/>
              </w:rPr>
              <w:t>£2,990/year</w:t>
            </w:r>
          </w:p>
        </w:tc>
        <w:tc>
          <w:tcPr>
            <w:tcW w:type="dxa" w:w="3660"/>
            <w:vAlign w:val="center"/>
            <w:tcMar>
              <w:top w:w="100" w:type="dxa"/>
              <w:start w:w="120" w:type="dxa"/>
              <w:bottom w:w="100" w:type="dxa"/>
              <w:end w:w="120" w:type="dxa"/>
            </w:tcMar>
          </w:tcPr>
          <w:p>
            <w:pPr>
              <w:spacing w:after="0"/>
            </w:pPr>
            <w:r>
              <w:rPr>
                <w:rFonts w:ascii="Aptos" w:hAnsi="Aptos"/>
                <w:b w:val="0"/>
                <w:color w:val="1D1B35"/>
                <w:sz w:val="17"/>
              </w:rPr>
              <w:t>First annual term</w:t>
            </w:r>
          </w:p>
        </w:tc>
      </w:tr>
    </w:tbl>
    <w:p>
      <w:pPr>
        <w:spacing w:after="0"/>
      </w:pPr>
    </w:p>
    <w:p>
      <w:pPr>
        <w:pStyle w:val="ListBullet"/>
        <w:spacing w:after="80"/>
        <w:ind w:left="605" w:hanging="259"/>
      </w:pPr>
      <w:r>
        <w:rPr>
          <w:rFonts w:ascii="Aptos" w:hAnsi="Aptos"/>
          <w:b w:val="0"/>
          <w:color w:val="1D1B35"/>
          <w:sz w:val="20"/>
        </w:rPr>
        <w:t>Show the standard renewal price before purchase and in the order confirmation.</w:t>
      </w:r>
    </w:p>
    <w:p>
      <w:pPr>
        <w:pStyle w:val="ListBullet"/>
        <w:spacing w:after="80"/>
        <w:ind w:left="605" w:hanging="259"/>
      </w:pPr>
      <w:r>
        <w:rPr>
          <w:rFonts w:ascii="Aptos" w:hAnsi="Aptos"/>
          <w:b w:val="0"/>
          <w:color w:val="1D1B35"/>
          <w:sz w:val="20"/>
        </w:rPr>
        <w:t>Limit eligibility by customer count or a clear campaign closing date.</w:t>
      </w:r>
    </w:p>
    <w:p>
      <w:pPr>
        <w:pStyle w:val="ListBullet"/>
        <w:spacing w:after="80"/>
        <w:ind w:left="605" w:hanging="259"/>
      </w:pPr>
      <w:r>
        <w:rPr>
          <w:rFonts w:ascii="Aptos" w:hAnsi="Aptos"/>
          <w:b w:val="0"/>
          <w:color w:val="1D1B35"/>
          <w:sz w:val="20"/>
        </w:rPr>
        <w:t>Do not offer lifetime pricing or permanent percentage discounts.</w:t>
      </w:r>
    </w:p>
    <w:p>
      <w:pPr>
        <w:pStyle w:val="ListBullet"/>
        <w:spacing w:after="80"/>
        <w:ind w:left="605" w:hanging="259"/>
      </w:pPr>
      <w:r>
        <w:rPr>
          <w:rFonts w:ascii="Aptos" w:hAnsi="Aptos"/>
          <w:b w:val="0"/>
          <w:color w:val="1D1B35"/>
          <w:sz w:val="20"/>
        </w:rPr>
        <w:t>Do not combine the founding offer with custom free months unless approved individually.</w:t>
      </w:r>
    </w:p>
    <w:p>
      <w:pPr>
        <w:pStyle w:val="ListBullet"/>
        <w:spacing w:after="80"/>
        <w:ind w:left="605" w:hanging="259"/>
      </w:pPr>
      <w:r>
        <w:rPr>
          <w:rFonts w:ascii="Aptos" w:hAnsi="Aptos"/>
          <w:b w:val="0"/>
          <w:color w:val="1D1B35"/>
          <w:sz w:val="20"/>
        </w:rPr>
        <w:t>Measure activation, retention, support demand and plan-limit usage before extending the campaign.</w:t>
      </w:r>
    </w:p>
    <w:p>
      <w:r>
        <w:rPr>
          <w:rFonts w:ascii="Aptos" w:hAnsi="Aptos"/>
          <w:b w:val="0"/>
          <w:color w:val="1D1B35"/>
          <w:sz w:val="21"/>
        </w:rPr>
        <w:t>Estimated founding-offer net monthly equivalents after the same Stripe assumption are approximately £57.50 for Basic, £97.60 for Premium and £194.77 for Premium Plus. The offer therefore remains above direct technical-service cost at a modest customer count while reducing purchase friction.</w:t>
      </w:r>
    </w:p>
    <w:p>
      <w:pPr>
        <w:spacing w:before="280" w:after="40"/>
      </w:pPr>
      <w:r>
        <w:rPr>
          <w:rFonts w:ascii="Aptos" w:hAnsi="Aptos"/>
          <w:b/>
          <w:color w:val="4338CA"/>
          <w:sz w:val="17"/>
        </w:rPr>
        <w:t>05  /  PRICING RECOMMENDATION</w:t>
      </w:r>
    </w:p>
    <w:p>
      <w:pPr>
        <w:pStyle w:val="Heading1"/>
      </w:pPr>
      <w:r>
        <w:t>Pricing governance</w:t>
      </w:r>
    </w:p>
    <w:p>
      <w:pPr>
        <w:spacing w:after="200"/>
      </w:pPr>
      <w:r>
        <w:rPr>
          <w:rFonts w:ascii="Aptos" w:hAnsi="Aptos"/>
          <w:b w:val="0"/>
          <w:color w:val="66637A"/>
          <w:sz w:val="21"/>
        </w:rPr>
        <w:t>Rules for protecting margin after launch.</w:t>
      </w:r>
    </w:p>
    <w:p>
      <w:pPr>
        <w:pStyle w:val="ListNumber"/>
        <w:spacing w:after="100"/>
        <w:ind w:left="605" w:hanging="259"/>
      </w:pPr>
      <w:r>
        <w:rPr>
          <w:rFonts w:ascii="Aptos" w:hAnsi="Aptos"/>
          <w:b w:val="0"/>
          <w:color w:val="1D1B35"/>
          <w:sz w:val="20"/>
        </w:rPr>
        <w:t>Publish all prices excluding VAT where appropriate and state the billing term prominently.</w:t>
      </w:r>
    </w:p>
    <w:p>
      <w:pPr>
        <w:pStyle w:val="ListNumber"/>
        <w:spacing w:after="100"/>
        <w:ind w:left="605" w:hanging="259"/>
      </w:pPr>
      <w:r>
        <w:rPr>
          <w:rFonts w:ascii="Aptos" w:hAnsi="Aptos"/>
          <w:b w:val="0"/>
          <w:color w:val="1D1B35"/>
          <w:sz w:val="20"/>
        </w:rPr>
        <w:t>Keep Stripe transaction fees and external-engineer marketplace fees separate in management reporting.</w:t>
      </w:r>
    </w:p>
    <w:p>
      <w:pPr>
        <w:pStyle w:val="ListNumber"/>
        <w:spacing w:after="100"/>
        <w:ind w:left="605" w:hanging="259"/>
      </w:pPr>
      <w:r>
        <w:rPr>
          <w:rFonts w:ascii="Aptos" w:hAnsi="Aptos"/>
          <w:b w:val="0"/>
          <w:color w:val="1D1B35"/>
          <w:sz w:val="20"/>
        </w:rPr>
        <w:t>Review acquisition, activation, retention, support time and infrastructure cost at 30, 60 and 90 days.</w:t>
      </w:r>
    </w:p>
    <w:p>
      <w:pPr>
        <w:pStyle w:val="ListNumber"/>
        <w:spacing w:after="100"/>
        <w:ind w:left="605" w:hanging="259"/>
      </w:pPr>
      <w:r>
        <w:rPr>
          <w:rFonts w:ascii="Aptos" w:hAnsi="Aptos"/>
          <w:b w:val="0"/>
          <w:color w:val="1D1B35"/>
          <w:sz w:val="20"/>
        </w:rPr>
        <w:t>Measure gross margin by plan; do not average a costly large customer into the whole customer base.</w:t>
      </w:r>
    </w:p>
    <w:p>
      <w:pPr>
        <w:pStyle w:val="ListNumber"/>
        <w:spacing w:after="100"/>
        <w:ind w:left="605" w:hanging="259"/>
      </w:pPr>
      <w:r>
        <w:rPr>
          <w:rFonts w:ascii="Aptos" w:hAnsi="Aptos"/>
          <w:b w:val="0"/>
          <w:color w:val="1D1B35"/>
          <w:sz w:val="20"/>
        </w:rPr>
        <w:t>Use entitlement usage to identify when limits are too generous, too restrictive or poorly understood.</w:t>
      </w:r>
    </w:p>
    <w:p>
      <w:pPr>
        <w:pStyle w:val="ListNumber"/>
        <w:spacing w:after="100"/>
        <w:ind w:left="605" w:hanging="259"/>
      </w:pPr>
      <w:r>
        <w:rPr>
          <w:rFonts w:ascii="Aptos" w:hAnsi="Aptos"/>
          <w:b w:val="0"/>
          <w:color w:val="1D1B35"/>
          <w:sz w:val="20"/>
        </w:rPr>
        <w:t>Review pricing annually and provide fair notice before changing renewal prices.</w:t>
      </w:r>
    </w:p>
    <w:p>
      <w:pPr>
        <w:pStyle w:val="ListNumber"/>
        <w:spacing w:after="100"/>
        <w:ind w:left="605" w:hanging="259"/>
      </w:pPr>
      <w:r>
        <w:rPr>
          <w:rFonts w:ascii="Aptos" w:hAnsi="Aptos"/>
          <w:b w:val="0"/>
          <w:color w:val="1D1B35"/>
          <w:sz w:val="20"/>
        </w:rPr>
        <w:t>Reserve custom enterprise pricing for requirements that materially change support, security, storage or integration cost.</w:t>
      </w:r>
    </w:p>
    <w:p>
      <w:pPr>
        <w:pStyle w:val="Heading2"/>
      </w:pPr>
      <w:r>
        <w:t>Target economics</w:t>
      </w:r>
    </w:p>
    <w:p>
      <w:pPr>
        <w:pStyle w:val="ListBullet"/>
        <w:spacing w:after="80"/>
        <w:ind w:left="605" w:hanging="259"/>
      </w:pPr>
      <w:r>
        <w:rPr>
          <w:rFonts w:ascii="Aptos" w:hAnsi="Aptos"/>
          <w:b w:val="0"/>
          <w:color w:val="1D1B35"/>
          <w:sz w:val="20"/>
        </w:rPr>
        <w:t>External services should remain a small proportion of subscription revenue once the customer base is established.</w:t>
      </w:r>
    </w:p>
    <w:p>
      <w:pPr>
        <w:pStyle w:val="ListBullet"/>
        <w:spacing w:after="80"/>
        <w:ind w:left="605" w:hanging="259"/>
      </w:pPr>
      <w:r>
        <w:rPr>
          <w:rFonts w:ascii="Aptos" w:hAnsi="Aptos"/>
          <w:b w:val="0"/>
          <w:color w:val="1D1B35"/>
          <w:sz w:val="20"/>
        </w:rPr>
        <w:t>PlasmaPro should model labour and support before adopting a final gross-margin target; a 75–80% software gross-margin objective is a useful long-term management target, not a guarantee from this report.</w:t>
      </w:r>
    </w:p>
    <w:p>
      <w:pPr>
        <w:pStyle w:val="ListBullet"/>
        <w:spacing w:after="80"/>
        <w:ind w:left="605" w:hanging="259"/>
      </w:pPr>
      <w:r>
        <w:rPr>
          <w:rFonts w:ascii="Aptos" w:hAnsi="Aptos"/>
          <w:b w:val="0"/>
          <w:color w:val="1D1B35"/>
          <w:sz w:val="20"/>
        </w:rPr>
        <w:t>Payment failures, refunds, disputes and bad debt require a separate reserve.</w:t>
      </w:r>
    </w:p>
    <w:p>
      <w:pPr>
        <w:pStyle w:val="ListBullet"/>
        <w:spacing w:after="80"/>
        <w:ind w:left="605" w:hanging="259"/>
      </w:pPr>
      <w:r>
        <w:rPr>
          <w:rFonts w:ascii="Aptos" w:hAnsi="Aptos"/>
          <w:b w:val="0"/>
          <w:color w:val="1D1B35"/>
          <w:sz w:val="20"/>
        </w:rPr>
        <w:t>Annual and six-month plans improve cash collection but create a service obligation for the full prepaid period.</w:t>
      </w:r>
    </w:p>
    <w:p>
      <w:pPr>
        <w:pStyle w:val="ListBullet"/>
        <w:spacing w:after="80"/>
        <w:ind w:left="605" w:hanging="259"/>
      </w:pPr>
      <w:r>
        <w:rPr>
          <w:rFonts w:ascii="Aptos" w:hAnsi="Aptos"/>
          <w:b w:val="0"/>
          <w:color w:val="1D1B35"/>
          <w:sz w:val="20"/>
        </w:rPr>
        <w:t>Premium Plus should not be discounted merely because it bills annually; its capacity can create materially higher storage, support and operational exposure.</w:t>
      </w:r>
    </w:p>
    <w:p>
      <w:pPr>
        <w:spacing w:before="280" w:after="40"/>
      </w:pPr>
      <w:r>
        <w:rPr>
          <w:rFonts w:ascii="Aptos" w:hAnsi="Aptos"/>
          <w:b/>
          <w:color w:val="4338CA"/>
          <w:sz w:val="17"/>
        </w:rPr>
        <w:t>06  /  PRICING RECOMMENDATION</w:t>
      </w:r>
    </w:p>
    <w:p>
      <w:pPr>
        <w:pStyle w:val="Heading1"/>
      </w:pPr>
      <w:r>
        <w:t>Approval recommendation</w:t>
      </w:r>
    </w:p>
    <w:p>
      <w:pPr>
        <w:spacing w:after="200"/>
      </w:pPr>
      <w:r>
        <w:rPr>
          <w:rFonts w:ascii="Aptos" w:hAnsi="Aptos"/>
          <w:b w:val="0"/>
          <w:color w:val="66637A"/>
          <w:sz w:val="21"/>
        </w:rPr>
        <w:t>A clear decision for PlasmaPro.</w:t>
      </w:r>
    </w:p>
    <w:p>
      <w:pPr>
        <w:spacing w:before="120" w:after="180"/>
        <w:ind w:left="173" w:right="173"/>
        <w:shd w:fill="EAF7EF"/>
        <w:pBdr>
          <w:left w:val="single" w:sz="22" w:space="8" w:color="166534"/>
        </w:pBdr>
      </w:pPr>
      <w:r>
        <w:rPr>
          <w:rFonts w:ascii="Aptos" w:hAnsi="Aptos"/>
          <w:b/>
          <w:color w:val="166534"/>
          <w:sz w:val="17"/>
        </w:rPr>
        <w:t>APPROVE FOR LAUNCH</w:t>
        <w:br/>
      </w:r>
      <w:r>
        <w:rPr>
          <w:rFonts w:ascii="Aptos" w:hAnsi="Aptos"/>
          <w:b w:val="0"/>
          <w:color w:val="1D1B35"/>
          <w:sz w:val="20"/>
        </w:rPr>
        <w:t>Basic: £79 monthly. Premium: £799 every six months. Premium Plus: £2,990 yearly. Prices exclude VAT. Permit the documented founding-customer offer for one initial term only, and review pricing after 90 days of real customer behaviour.</w:t>
      </w:r>
    </w:p>
    <w:p>
      <w:r>
        <w:rPr>
          <w:rFonts w:ascii="Aptos" w:hAnsi="Aptos"/>
          <w:b w:val="0"/>
          <w:color w:val="1D1B35"/>
          <w:sz w:val="21"/>
        </w:rPr>
        <w:t>This structure gives Snatchi a credible B2B SaaS price ladder while preserving a relatively accessible entry plan. It aligns price with project, member and document capacity, supports the recommended external-service budget, and leaves room for PlasmaPro to fund the human work that is outside the operating-cost report.</w:t>
      </w:r>
    </w:p>
    <w:p>
      <w:r>
        <w:rPr>
          <w:rFonts w:ascii="Aptos" w:hAnsi="Aptos"/>
          <w:b w:val="0"/>
          <w:color w:val="1D1B35"/>
          <w:sz w:val="21"/>
        </w:rPr>
        <w:t>The recommendation is a commercial planning model, not a guarantee of profitability. Final approval should combine this report with PlasmaPro’s labour cost, expected customer acquisition cost, tax treatment, support commitment and revenue forecast.</w:t>
      </w:r>
    </w:p>
    <w:p>
      <w:pPr>
        <w:pStyle w:val="Heading2"/>
      </w:pPr>
      <w:r>
        <w:t>Appendix — calculation assumptions</w:t>
      </w:r>
    </w:p>
    <w:tbl>
      <w:tblPr>
        <w:tblStyle w:val="TableGrid"/>
        <w:tblW w:type="dxa" w:w="9360"/>
        <w:jc w:val="center"/>
        <w:tblLayout w:type="fixed"/>
        <w:tblLook w:firstColumn="1" w:firstRow="1" w:lastColumn="0" w:lastRow="0" w:noHBand="0" w:noVBand="1" w:val="04A0"/>
        <w:tblInd w:w="120" w:type="dxa"/>
      </w:tblPr>
      <w:tblGrid>
        <w:gridCol w:w="3000"/>
        <w:gridCol w:w="6360"/>
      </w:tblGrid>
      <w:tr>
        <w:trPr>
          <w:tblHeader w:val="true"/>
          <w:cantSplit/>
        </w:trPr>
        <w:tc>
          <w:tcPr>
            <w:tcW w:type="dxa" w:w="3000"/>
            <w:shd w:fill="242057"/>
            <w:vAlign w:val="center"/>
            <w:tcMar>
              <w:top w:w="100" w:type="dxa"/>
              <w:start w:w="120" w:type="dxa"/>
              <w:bottom w:w="100" w:type="dxa"/>
              <w:end w:w="120" w:type="dxa"/>
            </w:tcMar>
          </w:tcPr>
          <w:p>
            <w:pPr>
              <w:spacing w:after="0"/>
            </w:pPr>
            <w:r>
              <w:rPr>
                <w:rFonts w:ascii="Aptos" w:hAnsi="Aptos"/>
                <w:b/>
                <w:color w:val="FFFFFF"/>
                <w:sz w:val="17"/>
              </w:rPr>
              <w:t>Assumption</w:t>
            </w:r>
          </w:p>
        </w:tc>
        <w:tc>
          <w:tcPr>
            <w:tcW w:type="dxa" w:w="6360"/>
            <w:shd w:fill="242057"/>
            <w:vAlign w:val="center"/>
            <w:tcMar>
              <w:top w:w="100" w:type="dxa"/>
              <w:start w:w="120" w:type="dxa"/>
              <w:bottom w:w="100" w:type="dxa"/>
              <w:end w:w="120" w:type="dxa"/>
            </w:tcMar>
          </w:tcPr>
          <w:p>
            <w:pPr>
              <w:spacing w:after="0"/>
            </w:pPr>
            <w:r>
              <w:rPr>
                <w:rFonts w:ascii="Aptos" w:hAnsi="Aptos"/>
                <w:b/>
                <w:color w:val="FFFFFF"/>
                <w:sz w:val="17"/>
              </w:rPr>
              <w:t>Value</w:t>
            </w:r>
          </w:p>
        </w:tc>
      </w:tr>
      <w:tr>
        <w:trPr>
          <w:cantSplit/>
        </w:trPr>
        <w:tc>
          <w:tcPr>
            <w:tcW w:type="dxa" w:w="3000"/>
            <w:vAlign w:val="center"/>
            <w:tcMar>
              <w:top w:w="100" w:type="dxa"/>
              <w:start w:w="120" w:type="dxa"/>
              <w:bottom w:w="100" w:type="dxa"/>
              <w:end w:w="120" w:type="dxa"/>
            </w:tcMar>
          </w:tcPr>
          <w:p>
            <w:pPr>
              <w:spacing w:after="0"/>
            </w:pPr>
            <w:r>
              <w:rPr>
                <w:rFonts w:ascii="Aptos" w:hAnsi="Aptos"/>
                <w:b w:val="0"/>
                <w:color w:val="1D1B35"/>
                <w:sz w:val="17"/>
              </w:rPr>
              <w:t>Launch external-service budget</w:t>
            </w:r>
          </w:p>
        </w:tc>
        <w:tc>
          <w:tcPr>
            <w:tcW w:type="dxa" w:w="6360"/>
            <w:vAlign w:val="center"/>
            <w:tcMar>
              <w:top w:w="100" w:type="dxa"/>
              <w:start w:w="120" w:type="dxa"/>
              <w:bottom w:w="100" w:type="dxa"/>
              <w:end w:w="120" w:type="dxa"/>
            </w:tcMar>
          </w:tcPr>
          <w:p>
            <w:pPr>
              <w:spacing w:after="0"/>
            </w:pPr>
            <w:r>
              <w:rPr>
                <w:rFonts w:ascii="Aptos" w:hAnsi="Aptos"/>
                <w:b w:val="0"/>
                <w:color w:val="1D1B35"/>
                <w:sz w:val="17"/>
              </w:rPr>
              <w:t>£190/month excluding VAT and Stripe fees</w:t>
            </w:r>
          </w:p>
        </w:tc>
      </w:tr>
      <w:tr>
        <w:trPr>
          <w:cantSplit/>
        </w:trPr>
        <w:tc>
          <w:tcPr>
            <w:tcW w:type="dxa" w:w="3000"/>
            <w:shd w:fill="F7F6FC"/>
            <w:vAlign w:val="center"/>
            <w:tcMar>
              <w:top w:w="100" w:type="dxa"/>
              <w:start w:w="120" w:type="dxa"/>
              <w:bottom w:w="100" w:type="dxa"/>
              <w:end w:w="120" w:type="dxa"/>
            </w:tcMar>
          </w:tcPr>
          <w:p>
            <w:pPr>
              <w:spacing w:after="0"/>
            </w:pPr>
            <w:r>
              <w:rPr>
                <w:rFonts w:ascii="Aptos" w:hAnsi="Aptos"/>
                <w:b w:val="0"/>
                <w:color w:val="1D1B35"/>
                <w:sz w:val="17"/>
              </w:rPr>
              <w:t>Growth external-service budget</w:t>
            </w:r>
          </w:p>
        </w:tc>
        <w:tc>
          <w:tcPr>
            <w:tcW w:type="dxa" w:w="6360"/>
            <w:shd w:fill="F7F6FC"/>
            <w:vAlign w:val="center"/>
            <w:tcMar>
              <w:top w:w="100" w:type="dxa"/>
              <w:start w:w="120" w:type="dxa"/>
              <w:bottom w:w="100" w:type="dxa"/>
              <w:end w:w="120" w:type="dxa"/>
            </w:tcMar>
          </w:tcPr>
          <w:p>
            <w:pPr>
              <w:spacing w:after="0"/>
            </w:pPr>
            <w:r>
              <w:rPr>
                <w:rFonts w:ascii="Aptos" w:hAnsi="Aptos"/>
                <w:b w:val="0"/>
                <w:color w:val="1D1B35"/>
                <w:sz w:val="17"/>
              </w:rPr>
              <w:t>£420/month excluding VAT and Stripe fees</w:t>
            </w:r>
          </w:p>
        </w:tc>
      </w:tr>
      <w:tr>
        <w:trPr>
          <w:cantSplit/>
        </w:trPr>
        <w:tc>
          <w:tcPr>
            <w:tcW w:type="dxa" w:w="3000"/>
            <w:vAlign w:val="center"/>
            <w:tcMar>
              <w:top w:w="100" w:type="dxa"/>
              <w:start w:w="120" w:type="dxa"/>
              <w:bottom w:w="100" w:type="dxa"/>
              <w:end w:w="120" w:type="dxa"/>
            </w:tcMar>
          </w:tcPr>
          <w:p>
            <w:pPr>
              <w:spacing w:after="0"/>
            </w:pPr>
            <w:r>
              <w:rPr>
                <w:rFonts w:ascii="Aptos" w:hAnsi="Aptos"/>
                <w:b w:val="0"/>
                <w:color w:val="1D1B35"/>
                <w:sz w:val="17"/>
              </w:rPr>
              <w:t>Standard UK Stripe card fee</w:t>
            </w:r>
          </w:p>
        </w:tc>
        <w:tc>
          <w:tcPr>
            <w:tcW w:type="dxa" w:w="6360"/>
            <w:vAlign w:val="center"/>
            <w:tcMar>
              <w:top w:w="100" w:type="dxa"/>
              <w:start w:w="120" w:type="dxa"/>
              <w:bottom w:w="100" w:type="dxa"/>
              <w:end w:w="120" w:type="dxa"/>
            </w:tcMar>
          </w:tcPr>
          <w:p>
            <w:pPr>
              <w:spacing w:after="0"/>
            </w:pPr>
            <w:r>
              <w:rPr>
                <w:rFonts w:ascii="Aptos" w:hAnsi="Aptos"/>
                <w:b w:val="0"/>
                <w:color w:val="1D1B35"/>
                <w:sz w:val="17"/>
              </w:rPr>
              <w:t>1.5% + £0.20 per successful payment</w:t>
            </w:r>
          </w:p>
        </w:tc>
      </w:tr>
      <w:tr>
        <w:trPr>
          <w:cantSplit/>
        </w:trPr>
        <w:tc>
          <w:tcPr>
            <w:tcW w:type="dxa" w:w="3000"/>
            <w:shd w:fill="F7F6FC"/>
            <w:vAlign w:val="center"/>
            <w:tcMar>
              <w:top w:w="100" w:type="dxa"/>
              <w:start w:w="120" w:type="dxa"/>
              <w:bottom w:w="100" w:type="dxa"/>
              <w:end w:w="120" w:type="dxa"/>
            </w:tcMar>
          </w:tcPr>
          <w:p>
            <w:pPr>
              <w:spacing w:after="0"/>
            </w:pPr>
            <w:r>
              <w:rPr>
                <w:rFonts w:ascii="Aptos" w:hAnsi="Aptos"/>
                <w:b w:val="0"/>
                <w:color w:val="1D1B35"/>
                <w:sz w:val="17"/>
              </w:rPr>
              <w:t>Stripe Billing fee</w:t>
            </w:r>
          </w:p>
        </w:tc>
        <w:tc>
          <w:tcPr>
            <w:tcW w:type="dxa" w:w="6360"/>
            <w:shd w:fill="F7F6FC"/>
            <w:vAlign w:val="center"/>
            <w:tcMar>
              <w:top w:w="100" w:type="dxa"/>
              <w:start w:w="120" w:type="dxa"/>
              <w:bottom w:w="100" w:type="dxa"/>
              <w:end w:w="120" w:type="dxa"/>
            </w:tcMar>
          </w:tcPr>
          <w:p>
            <w:pPr>
              <w:spacing w:after="0"/>
            </w:pPr>
            <w:r>
              <w:rPr>
                <w:rFonts w:ascii="Aptos" w:hAnsi="Aptos"/>
                <w:b w:val="0"/>
                <w:color w:val="1D1B35"/>
                <w:sz w:val="17"/>
              </w:rPr>
              <w:t>0.7% of recurring Billing volume</w:t>
            </w:r>
          </w:p>
        </w:tc>
      </w:tr>
      <w:tr>
        <w:trPr>
          <w:cantSplit/>
        </w:trPr>
        <w:tc>
          <w:tcPr>
            <w:tcW w:type="dxa" w:w="3000"/>
            <w:vAlign w:val="center"/>
            <w:tcMar>
              <w:top w:w="100" w:type="dxa"/>
              <w:start w:w="120" w:type="dxa"/>
              <w:bottom w:w="100" w:type="dxa"/>
              <w:end w:w="120" w:type="dxa"/>
            </w:tcMar>
          </w:tcPr>
          <w:p>
            <w:pPr>
              <w:spacing w:after="0"/>
            </w:pPr>
            <w:r>
              <w:rPr>
                <w:rFonts w:ascii="Aptos" w:hAnsi="Aptos"/>
                <w:b w:val="0"/>
                <w:color w:val="1D1B35"/>
                <w:sz w:val="17"/>
              </w:rPr>
              <w:t>Combined planning formula</w:t>
            </w:r>
          </w:p>
        </w:tc>
        <w:tc>
          <w:tcPr>
            <w:tcW w:type="dxa" w:w="6360"/>
            <w:vAlign w:val="center"/>
            <w:tcMar>
              <w:top w:w="100" w:type="dxa"/>
              <w:start w:w="120" w:type="dxa"/>
              <w:bottom w:w="100" w:type="dxa"/>
              <w:end w:w="120" w:type="dxa"/>
            </w:tcMar>
          </w:tcPr>
          <w:p>
            <w:pPr>
              <w:spacing w:after="0"/>
            </w:pPr>
            <w:r>
              <w:rPr>
                <w:rFonts w:ascii="Aptos" w:hAnsi="Aptos"/>
                <w:b w:val="0"/>
                <w:color w:val="1D1B35"/>
                <w:sz w:val="17"/>
              </w:rPr>
              <w:t>2.2% of charge + £0.20</w:t>
            </w:r>
          </w:p>
        </w:tc>
      </w:tr>
      <w:tr>
        <w:trPr>
          <w:cantSplit/>
        </w:trPr>
        <w:tc>
          <w:tcPr>
            <w:tcW w:type="dxa" w:w="3000"/>
            <w:shd w:fill="F7F6FC"/>
            <w:vAlign w:val="center"/>
            <w:tcMar>
              <w:top w:w="100" w:type="dxa"/>
              <w:start w:w="120" w:type="dxa"/>
              <w:bottom w:w="100" w:type="dxa"/>
              <w:end w:w="120" w:type="dxa"/>
            </w:tcMar>
          </w:tcPr>
          <w:p>
            <w:pPr>
              <w:spacing w:after="0"/>
            </w:pPr>
            <w:r>
              <w:rPr>
                <w:rFonts w:ascii="Aptos" w:hAnsi="Aptos"/>
                <w:b w:val="0"/>
                <w:color w:val="1D1B35"/>
                <w:sz w:val="17"/>
              </w:rPr>
              <w:t>VAT</w:t>
            </w:r>
          </w:p>
        </w:tc>
        <w:tc>
          <w:tcPr>
            <w:tcW w:type="dxa" w:w="6360"/>
            <w:shd w:fill="F7F6FC"/>
            <w:vAlign w:val="center"/>
            <w:tcMar>
              <w:top w:w="100" w:type="dxa"/>
              <w:start w:w="120" w:type="dxa"/>
              <w:bottom w:w="100" w:type="dxa"/>
              <w:end w:w="120" w:type="dxa"/>
            </w:tcMar>
          </w:tcPr>
          <w:p>
            <w:pPr>
              <w:spacing w:after="0"/>
            </w:pPr>
            <w:r>
              <w:rPr>
                <w:rFonts w:ascii="Aptos" w:hAnsi="Aptos"/>
                <w:b w:val="0"/>
                <w:color w:val="1D1B35"/>
                <w:sz w:val="17"/>
              </w:rPr>
              <w:t>Excluded from all recommended prices and calculations</w:t>
            </w:r>
          </w:p>
        </w:tc>
      </w:tr>
      <w:tr>
        <w:trPr>
          <w:cantSplit/>
        </w:trPr>
        <w:tc>
          <w:tcPr>
            <w:tcW w:type="dxa" w:w="3000"/>
            <w:vAlign w:val="center"/>
            <w:tcMar>
              <w:top w:w="100" w:type="dxa"/>
              <w:start w:w="120" w:type="dxa"/>
              <w:bottom w:w="100" w:type="dxa"/>
              <w:end w:w="120" w:type="dxa"/>
            </w:tcMar>
          </w:tcPr>
          <w:p>
            <w:pPr>
              <w:spacing w:after="0"/>
            </w:pPr>
            <w:r>
              <w:rPr>
                <w:rFonts w:ascii="Aptos" w:hAnsi="Aptos"/>
                <w:b w:val="0"/>
                <w:color w:val="1D1B35"/>
                <w:sz w:val="17"/>
              </w:rPr>
              <w:t>Manual labour and overhead</w:t>
            </w:r>
          </w:p>
        </w:tc>
        <w:tc>
          <w:tcPr>
            <w:tcW w:type="dxa" w:w="6360"/>
            <w:vAlign w:val="center"/>
            <w:tcMar>
              <w:top w:w="100" w:type="dxa"/>
              <w:start w:w="120" w:type="dxa"/>
              <w:bottom w:w="100" w:type="dxa"/>
              <w:end w:w="120" w:type="dxa"/>
            </w:tcMar>
          </w:tcPr>
          <w:p>
            <w:pPr>
              <w:spacing w:after="0"/>
            </w:pPr>
            <w:r>
              <w:rPr>
                <w:rFonts w:ascii="Aptos" w:hAnsi="Aptos"/>
                <w:b w:val="0"/>
                <w:color w:val="1D1B35"/>
                <w:sz w:val="17"/>
              </w:rPr>
              <w:t>Excluded; must be added by PlasmaPro</w:t>
            </w:r>
          </w:p>
        </w:tc>
      </w:tr>
      <w:tr>
        <w:trPr>
          <w:cantSplit/>
        </w:trPr>
        <w:tc>
          <w:tcPr>
            <w:tcW w:type="dxa" w:w="3000"/>
            <w:shd w:fill="F7F6FC"/>
            <w:vAlign w:val="center"/>
            <w:tcMar>
              <w:top w:w="100" w:type="dxa"/>
              <w:start w:w="120" w:type="dxa"/>
              <w:bottom w:w="100" w:type="dxa"/>
              <w:end w:w="120" w:type="dxa"/>
            </w:tcMar>
          </w:tcPr>
          <w:p>
            <w:pPr>
              <w:spacing w:after="0"/>
            </w:pPr>
            <w:r>
              <w:rPr>
                <w:rFonts w:ascii="Aptos" w:hAnsi="Aptos"/>
                <w:b w:val="0"/>
                <w:color w:val="1D1B35"/>
                <w:sz w:val="17"/>
              </w:rPr>
              <w:t>Plan allowances</w:t>
            </w:r>
          </w:p>
        </w:tc>
        <w:tc>
          <w:tcPr>
            <w:tcW w:type="dxa" w:w="6360"/>
            <w:shd w:fill="F7F6FC"/>
            <w:vAlign w:val="center"/>
            <w:tcMar>
              <w:top w:w="100" w:type="dxa"/>
              <w:start w:w="120" w:type="dxa"/>
              <w:bottom w:w="100" w:type="dxa"/>
              <w:end w:w="120" w:type="dxa"/>
            </w:tcMar>
          </w:tcPr>
          <w:p>
            <w:pPr>
              <w:spacing w:after="0"/>
            </w:pPr>
            <w:r>
              <w:rPr>
                <w:rFonts w:ascii="Aptos" w:hAnsi="Aptos"/>
                <w:b w:val="0"/>
                <w:color w:val="1D1B35"/>
                <w:sz w:val="17"/>
              </w:rPr>
              <w:t>Current enforced project, member, upload and file-size limits</w:t>
            </w:r>
          </w:p>
        </w:tc>
      </w:tr>
    </w:tbl>
    <w:p>
      <w:pPr>
        <w:spacing w:after="0"/>
      </w:pPr>
    </w:p>
    <w:sectPr w:rsidR="00FC693F" w:rsidRPr="0006063C" w:rsidSect="00034616">
      <w:headerReference w:type="default" r:id="rId9"/>
      <w:footerReference w:type="default" r:id="rId10"/>
      <w:pgSz w:w="12240" w:h="15840"/>
      <w:pgMar w:top="1181" w:right="1440" w:bottom="1181"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37A"/>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color w:val="66637A"/>
        <w:sz w:val="16"/>
      </w:rPr>
      <w:t>SNATCHI  /  COMMERCIAL PLAN PRICING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D1B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4205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4338C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2420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Snatchi Subscription Plan Pricing Recommendation</dc:title>
  <dc:subject>Commercial pricing recommendation for PlasmaPro</dc:subject>
  <dc:creator>Suftnet</dc:creator>
  <cp:keywords>Snatchi, PlasmaPro, pricing, subscription, profitability, SaaS</cp:keywords>
  <dc:description>generated by python-docx</dc:description>
  <cp:lastModifiedBy/>
  <cp:revision>1</cp:revision>
  <dcterms:created xsi:type="dcterms:W3CDTF">2013-12-23T23:15:00Z</dcterms:created>
  <dcterms:modified xsi:type="dcterms:W3CDTF">2013-12-23T23:15:00Z</dcterms:modified>
  <cp:category/>
</cp:coreProperties>
</file>