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5D9D" w14:textId="77777777" w:rsidR="005A7E1A" w:rsidRDefault="005A7E1A"/>
    <w:p w14:paraId="0C771ECA" w14:textId="77777777" w:rsidR="00C04F92" w:rsidRDefault="00C04F92"/>
    <w:p w14:paraId="50E4DB30" w14:textId="77777777" w:rsidR="00C04F92" w:rsidRDefault="00000000">
      <w:hyperlink r:id="rId7" w:history="1">
        <w:r w:rsidR="00C04F92" w:rsidRPr="00C15FBB">
          <w:rPr>
            <w:rStyle w:val="Hyperlink"/>
          </w:rPr>
          <w:t>https://learn.microsoft.com/en-us/azure/ai-services/openai/quotas-limitsccccq</w:t>
        </w:r>
      </w:hyperlink>
    </w:p>
    <w:p w14:paraId="76B995ED" w14:textId="77777777" w:rsidR="00C04F92" w:rsidRDefault="00C04F92" w:rsidP="00C04F9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Azure OpenAI Service quotas and limits</w:t>
      </w:r>
    </w:p>
    <w:p w14:paraId="48B9AEF7" w14:textId="77777777" w:rsidR="00C04F92" w:rsidRDefault="00C04F92" w:rsidP="00C04F92">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Article</w:t>
      </w:r>
    </w:p>
    <w:p w14:paraId="167A1BF7" w14:textId="77777777" w:rsidR="00C04F92" w:rsidRDefault="00C04F92" w:rsidP="00C04F92">
      <w:pPr>
        <w:pStyle w:val="visibility-hidden-visual-diff"/>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12/11/2023</w:t>
      </w:r>
    </w:p>
    <w:p w14:paraId="658F8B39" w14:textId="77777777" w:rsidR="00C04F92" w:rsidRDefault="00C04F92" w:rsidP="00C04F92">
      <w:pPr>
        <w:pStyle w:val="contributors-holder"/>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8 contributors</w:t>
      </w:r>
    </w:p>
    <w:p w14:paraId="4EDD0843" w14:textId="77777777" w:rsidR="00C04F92" w:rsidRDefault="00C04F92" w:rsidP="00C04F92">
      <w:pPr>
        <w:shd w:val="clear" w:color="auto" w:fill="FFFFFF"/>
        <w:rPr>
          <w:rFonts w:ascii="Segoe UI" w:hAnsi="Segoe UI" w:cs="Segoe UI"/>
          <w:color w:val="161616"/>
        </w:rPr>
      </w:pPr>
      <w:r>
        <w:rPr>
          <w:rFonts w:ascii="Segoe UI" w:hAnsi="Segoe UI" w:cs="Segoe UI"/>
          <w:color w:val="161616"/>
        </w:rPr>
        <w:t>Feedback</w:t>
      </w:r>
    </w:p>
    <w:p w14:paraId="1092C42A" w14:textId="77777777" w:rsidR="00C04F92" w:rsidRDefault="00C04F92" w:rsidP="00C04F92">
      <w:pPr>
        <w:pStyle w:val="Heading2"/>
      </w:pPr>
      <w:r>
        <w:t>In this article</w:t>
      </w:r>
    </w:p>
    <w:p w14:paraId="697C4038" w14:textId="77777777" w:rsidR="00C04F92" w:rsidRDefault="00000000" w:rsidP="00C04F92">
      <w:pPr>
        <w:numPr>
          <w:ilvl w:val="0"/>
          <w:numId w:val="2"/>
        </w:numPr>
        <w:spacing w:before="60" w:after="60" w:line="240" w:lineRule="auto"/>
      </w:pPr>
      <w:hyperlink r:id="rId8" w:anchor="quotas-and-limits-reference" w:history="1">
        <w:r w:rsidR="00C04F92">
          <w:rPr>
            <w:rStyle w:val="Hyperlink"/>
          </w:rPr>
          <w:t>Quotas and limits reference</w:t>
        </w:r>
      </w:hyperlink>
    </w:p>
    <w:p w14:paraId="5EB890B0" w14:textId="77777777" w:rsidR="00C04F92" w:rsidRDefault="00000000" w:rsidP="00C04F92">
      <w:pPr>
        <w:numPr>
          <w:ilvl w:val="0"/>
          <w:numId w:val="2"/>
        </w:numPr>
        <w:spacing w:before="60" w:after="60" w:line="240" w:lineRule="auto"/>
      </w:pPr>
      <w:hyperlink r:id="rId9" w:anchor="regional-quota-limits" w:history="1">
        <w:r w:rsidR="00C04F92">
          <w:rPr>
            <w:rStyle w:val="Hyperlink"/>
          </w:rPr>
          <w:t>Regional quota limits</w:t>
        </w:r>
      </w:hyperlink>
    </w:p>
    <w:p w14:paraId="6993A2CD" w14:textId="77777777" w:rsidR="00C04F92" w:rsidRDefault="00000000" w:rsidP="00C04F92">
      <w:pPr>
        <w:numPr>
          <w:ilvl w:val="0"/>
          <w:numId w:val="2"/>
        </w:numPr>
        <w:spacing w:before="60" w:after="60" w:line="240" w:lineRule="auto"/>
      </w:pPr>
      <w:hyperlink r:id="rId10" w:anchor="next-steps" w:history="1">
        <w:r w:rsidR="00C04F92">
          <w:rPr>
            <w:rStyle w:val="Hyperlink"/>
          </w:rPr>
          <w:t>Next steps</w:t>
        </w:r>
      </w:hyperlink>
    </w:p>
    <w:p w14:paraId="5FD97DC5"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This article contains a quick reference and a detailed description of the quotas and limits for Azure OpenAI in Azure AI services.</w:t>
      </w:r>
    </w:p>
    <w:p w14:paraId="35BACC9A" w14:textId="77777777" w:rsidR="00C04F92" w:rsidRDefault="00C04F92" w:rsidP="00C04F9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Quotas and limits reference</w:t>
      </w:r>
    </w:p>
    <w:p w14:paraId="5A480836"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The following sections provide you with a quick guide to the default quotas and limits that apply to Azure OpenAI:</w:t>
      </w:r>
    </w:p>
    <w:p w14:paraId="186FD869" w14:textId="77777777" w:rsidR="00C04F92" w:rsidRDefault="00C04F92" w:rsidP="00C04F92">
      <w:pPr>
        <w:shd w:val="clear" w:color="auto" w:fill="FFFFFF"/>
        <w:rPr>
          <w:rFonts w:ascii="Segoe UI" w:hAnsi="Segoe UI" w:cs="Segoe UI"/>
          <w:color w:val="161616"/>
        </w:rPr>
      </w:pPr>
      <w:r>
        <w:rPr>
          <w:rFonts w:ascii="Segoe UI" w:hAnsi="Segoe UI" w:cs="Segoe UI"/>
          <w:color w:val="161616"/>
        </w:rPr>
        <w:t xml:space="preserve">Expand </w:t>
      </w:r>
      <w:proofErr w:type="gramStart"/>
      <w:r>
        <w:rPr>
          <w:rFonts w:ascii="Segoe UI" w:hAnsi="Segoe UI" w:cs="Segoe UI"/>
          <w:color w:val="161616"/>
        </w:rPr>
        <w:t>table</w:t>
      </w:r>
      <w:proofErr w:type="gramEnd"/>
    </w:p>
    <w:tbl>
      <w:tblPr>
        <w:tblW w:w="8395" w:type="dxa"/>
        <w:tblCellMar>
          <w:top w:w="15" w:type="dxa"/>
          <w:left w:w="15" w:type="dxa"/>
          <w:bottom w:w="15" w:type="dxa"/>
          <w:right w:w="15" w:type="dxa"/>
        </w:tblCellMar>
        <w:tblLook w:val="04A0" w:firstRow="1" w:lastRow="0" w:firstColumn="1" w:lastColumn="0" w:noHBand="0" w:noVBand="1"/>
      </w:tblPr>
      <w:tblGrid>
        <w:gridCol w:w="3794"/>
        <w:gridCol w:w="4601"/>
      </w:tblGrid>
      <w:tr w:rsidR="00C04F92" w14:paraId="3B82800C" w14:textId="77777777" w:rsidTr="00C04F92">
        <w:trPr>
          <w:tblHeader/>
        </w:trPr>
        <w:tc>
          <w:tcPr>
            <w:tcW w:w="0" w:type="auto"/>
            <w:hideMark/>
          </w:tcPr>
          <w:p w14:paraId="15CDF0FD" w14:textId="77777777" w:rsidR="00C04F92" w:rsidRDefault="00C04F92">
            <w:pPr>
              <w:rPr>
                <w:rFonts w:ascii="Times New Roman" w:hAnsi="Times New Roman" w:cs="Times New Roman"/>
                <w:b/>
                <w:bCs/>
              </w:rPr>
            </w:pPr>
            <w:r>
              <w:rPr>
                <w:b/>
                <w:bCs/>
              </w:rPr>
              <w:t>Limit Name</w:t>
            </w:r>
          </w:p>
        </w:tc>
        <w:tc>
          <w:tcPr>
            <w:tcW w:w="0" w:type="auto"/>
            <w:hideMark/>
          </w:tcPr>
          <w:p w14:paraId="18A2E045" w14:textId="77777777" w:rsidR="00C04F92" w:rsidRDefault="00C04F92">
            <w:pPr>
              <w:rPr>
                <w:b/>
                <w:bCs/>
              </w:rPr>
            </w:pPr>
            <w:r>
              <w:rPr>
                <w:b/>
                <w:bCs/>
              </w:rPr>
              <w:t>Limit Value</w:t>
            </w:r>
          </w:p>
        </w:tc>
      </w:tr>
      <w:tr w:rsidR="00C04F92" w14:paraId="6A14D282" w14:textId="77777777" w:rsidTr="00C04F92">
        <w:tc>
          <w:tcPr>
            <w:tcW w:w="0" w:type="auto"/>
            <w:hideMark/>
          </w:tcPr>
          <w:p w14:paraId="1877230E" w14:textId="77777777" w:rsidR="00C04F92" w:rsidRDefault="00C04F92">
            <w:r>
              <w:t>OpenAI resources per region per Azure subscription</w:t>
            </w:r>
          </w:p>
        </w:tc>
        <w:tc>
          <w:tcPr>
            <w:tcW w:w="0" w:type="auto"/>
            <w:hideMark/>
          </w:tcPr>
          <w:p w14:paraId="2D8889A2" w14:textId="77777777" w:rsidR="00C04F92" w:rsidRDefault="00C04F92">
            <w:r>
              <w:t>30</w:t>
            </w:r>
          </w:p>
        </w:tc>
      </w:tr>
      <w:tr w:rsidR="00C04F92" w14:paraId="0C9ACC27" w14:textId="77777777" w:rsidTr="00C04F92">
        <w:tc>
          <w:tcPr>
            <w:tcW w:w="0" w:type="auto"/>
            <w:hideMark/>
          </w:tcPr>
          <w:p w14:paraId="3BDCAA15" w14:textId="77777777" w:rsidR="00C04F92" w:rsidRDefault="00C04F92">
            <w:r>
              <w:t>Default DALL-E 2 quota limits</w:t>
            </w:r>
          </w:p>
        </w:tc>
        <w:tc>
          <w:tcPr>
            <w:tcW w:w="0" w:type="auto"/>
            <w:hideMark/>
          </w:tcPr>
          <w:p w14:paraId="1B75ADD7" w14:textId="77777777" w:rsidR="00C04F92" w:rsidRDefault="00C04F92">
            <w:r>
              <w:t>2 concurrent requests</w:t>
            </w:r>
          </w:p>
        </w:tc>
      </w:tr>
      <w:tr w:rsidR="00C04F92" w14:paraId="4EB21EFD" w14:textId="77777777" w:rsidTr="00C04F92">
        <w:tc>
          <w:tcPr>
            <w:tcW w:w="0" w:type="auto"/>
            <w:hideMark/>
          </w:tcPr>
          <w:p w14:paraId="2996ACBE" w14:textId="77777777" w:rsidR="00C04F92" w:rsidRDefault="00C04F92">
            <w:r>
              <w:t>Default DALL-E 3 quota limits</w:t>
            </w:r>
          </w:p>
        </w:tc>
        <w:tc>
          <w:tcPr>
            <w:tcW w:w="0" w:type="auto"/>
            <w:hideMark/>
          </w:tcPr>
          <w:p w14:paraId="146DADD2" w14:textId="77777777" w:rsidR="00C04F92" w:rsidRDefault="00C04F92">
            <w:r>
              <w:t>2 capacity units (6 requests per minute)</w:t>
            </w:r>
          </w:p>
        </w:tc>
      </w:tr>
      <w:tr w:rsidR="00C04F92" w14:paraId="13421A66" w14:textId="77777777" w:rsidTr="00C04F92">
        <w:tc>
          <w:tcPr>
            <w:tcW w:w="0" w:type="auto"/>
            <w:hideMark/>
          </w:tcPr>
          <w:p w14:paraId="225BB79D" w14:textId="77777777" w:rsidR="00C04F92" w:rsidRDefault="00C04F92">
            <w:r>
              <w:t>Maximum prompt tokens per request</w:t>
            </w:r>
          </w:p>
        </w:tc>
        <w:tc>
          <w:tcPr>
            <w:tcW w:w="0" w:type="auto"/>
            <w:hideMark/>
          </w:tcPr>
          <w:p w14:paraId="339FC47F" w14:textId="77777777" w:rsidR="00C04F92" w:rsidRDefault="00C04F92">
            <w:r>
              <w:t>Varies per model. For more information, see </w:t>
            </w:r>
            <w:hyperlink r:id="rId11" w:history="1">
              <w:r>
                <w:rPr>
                  <w:rStyle w:val="Hyperlink"/>
                </w:rPr>
                <w:t>Azure OpenAI Service models</w:t>
              </w:r>
            </w:hyperlink>
          </w:p>
        </w:tc>
      </w:tr>
      <w:tr w:rsidR="00C04F92" w14:paraId="6F477572" w14:textId="77777777" w:rsidTr="00C04F92">
        <w:tc>
          <w:tcPr>
            <w:tcW w:w="0" w:type="auto"/>
            <w:hideMark/>
          </w:tcPr>
          <w:p w14:paraId="69FB81DC" w14:textId="77777777" w:rsidR="00C04F92" w:rsidRDefault="00C04F92">
            <w:r>
              <w:t>Max fine-tuned model deployments</w:t>
            </w:r>
          </w:p>
        </w:tc>
        <w:tc>
          <w:tcPr>
            <w:tcW w:w="0" w:type="auto"/>
            <w:hideMark/>
          </w:tcPr>
          <w:p w14:paraId="70B1C7B6" w14:textId="77777777" w:rsidR="00C04F92" w:rsidRDefault="00C04F92">
            <w:r>
              <w:t>5</w:t>
            </w:r>
          </w:p>
        </w:tc>
      </w:tr>
      <w:tr w:rsidR="00C04F92" w14:paraId="2E15E089" w14:textId="77777777" w:rsidTr="00C04F92">
        <w:tc>
          <w:tcPr>
            <w:tcW w:w="0" w:type="auto"/>
            <w:hideMark/>
          </w:tcPr>
          <w:p w14:paraId="237178A6" w14:textId="77777777" w:rsidR="00C04F92" w:rsidRDefault="00C04F92">
            <w:r>
              <w:t>Total number of training jobs per resource</w:t>
            </w:r>
          </w:p>
        </w:tc>
        <w:tc>
          <w:tcPr>
            <w:tcW w:w="0" w:type="auto"/>
            <w:hideMark/>
          </w:tcPr>
          <w:p w14:paraId="532E30E0" w14:textId="77777777" w:rsidR="00C04F92" w:rsidRDefault="00C04F92">
            <w:r>
              <w:t>100</w:t>
            </w:r>
          </w:p>
        </w:tc>
      </w:tr>
      <w:tr w:rsidR="00C04F92" w14:paraId="7C5CBA11" w14:textId="77777777" w:rsidTr="00C04F92">
        <w:tc>
          <w:tcPr>
            <w:tcW w:w="0" w:type="auto"/>
            <w:hideMark/>
          </w:tcPr>
          <w:p w14:paraId="1853B579" w14:textId="77777777" w:rsidR="00C04F92" w:rsidRDefault="00C04F92">
            <w:r>
              <w:lastRenderedPageBreak/>
              <w:t>Max simultaneous running training jobs per resource</w:t>
            </w:r>
          </w:p>
        </w:tc>
        <w:tc>
          <w:tcPr>
            <w:tcW w:w="0" w:type="auto"/>
            <w:hideMark/>
          </w:tcPr>
          <w:p w14:paraId="5E65A44B" w14:textId="77777777" w:rsidR="00C04F92" w:rsidRDefault="00C04F92">
            <w:r>
              <w:t>1</w:t>
            </w:r>
          </w:p>
        </w:tc>
      </w:tr>
      <w:tr w:rsidR="00C04F92" w14:paraId="486C2B53" w14:textId="77777777" w:rsidTr="00C04F92">
        <w:tc>
          <w:tcPr>
            <w:tcW w:w="0" w:type="auto"/>
            <w:hideMark/>
          </w:tcPr>
          <w:p w14:paraId="0C5B22CD" w14:textId="77777777" w:rsidR="00C04F92" w:rsidRDefault="00C04F92">
            <w:r>
              <w:t>Max training jobs queued</w:t>
            </w:r>
          </w:p>
        </w:tc>
        <w:tc>
          <w:tcPr>
            <w:tcW w:w="0" w:type="auto"/>
            <w:hideMark/>
          </w:tcPr>
          <w:p w14:paraId="1F52D96F" w14:textId="77777777" w:rsidR="00C04F92" w:rsidRDefault="00C04F92">
            <w:r>
              <w:t>20</w:t>
            </w:r>
          </w:p>
        </w:tc>
      </w:tr>
      <w:tr w:rsidR="00C04F92" w14:paraId="3BC76B06" w14:textId="77777777" w:rsidTr="00C04F92">
        <w:tc>
          <w:tcPr>
            <w:tcW w:w="0" w:type="auto"/>
            <w:hideMark/>
          </w:tcPr>
          <w:p w14:paraId="78C6EB3C" w14:textId="77777777" w:rsidR="00C04F92" w:rsidRDefault="00C04F92">
            <w:r>
              <w:t>Max Files per resource</w:t>
            </w:r>
          </w:p>
        </w:tc>
        <w:tc>
          <w:tcPr>
            <w:tcW w:w="0" w:type="auto"/>
            <w:hideMark/>
          </w:tcPr>
          <w:p w14:paraId="023B6612" w14:textId="77777777" w:rsidR="00C04F92" w:rsidRDefault="00C04F92">
            <w:r>
              <w:t>30</w:t>
            </w:r>
          </w:p>
        </w:tc>
      </w:tr>
      <w:tr w:rsidR="00C04F92" w14:paraId="1AAE7FA5" w14:textId="77777777" w:rsidTr="00C04F92">
        <w:tc>
          <w:tcPr>
            <w:tcW w:w="0" w:type="auto"/>
            <w:hideMark/>
          </w:tcPr>
          <w:p w14:paraId="6C619EA5" w14:textId="77777777" w:rsidR="00C04F92" w:rsidRDefault="00C04F92">
            <w:r>
              <w:t>Total size of all files per resource</w:t>
            </w:r>
          </w:p>
        </w:tc>
        <w:tc>
          <w:tcPr>
            <w:tcW w:w="0" w:type="auto"/>
            <w:hideMark/>
          </w:tcPr>
          <w:p w14:paraId="78100C22" w14:textId="77777777" w:rsidR="00C04F92" w:rsidRDefault="00C04F92">
            <w:r>
              <w:t>1 GB</w:t>
            </w:r>
          </w:p>
        </w:tc>
      </w:tr>
      <w:tr w:rsidR="00C04F92" w14:paraId="36133A46" w14:textId="77777777" w:rsidTr="00C04F92">
        <w:tc>
          <w:tcPr>
            <w:tcW w:w="0" w:type="auto"/>
            <w:hideMark/>
          </w:tcPr>
          <w:p w14:paraId="3363AA32" w14:textId="77777777" w:rsidR="00C04F92" w:rsidRDefault="00C04F92">
            <w:r>
              <w:t>Max training job time (job will fail if exceeded)</w:t>
            </w:r>
          </w:p>
        </w:tc>
        <w:tc>
          <w:tcPr>
            <w:tcW w:w="0" w:type="auto"/>
            <w:hideMark/>
          </w:tcPr>
          <w:p w14:paraId="1184FE0F" w14:textId="77777777" w:rsidR="00C04F92" w:rsidRDefault="00C04F92">
            <w:r>
              <w:t>720 hours</w:t>
            </w:r>
          </w:p>
        </w:tc>
      </w:tr>
      <w:tr w:rsidR="00C04F92" w14:paraId="2BBB23E1" w14:textId="77777777" w:rsidTr="00C04F92">
        <w:tc>
          <w:tcPr>
            <w:tcW w:w="0" w:type="auto"/>
            <w:hideMark/>
          </w:tcPr>
          <w:p w14:paraId="1AAF6B72" w14:textId="77777777" w:rsidR="00C04F92" w:rsidRDefault="00C04F92">
            <w:r>
              <w:t>Max training job size (tokens in training file) x (# of epochs)</w:t>
            </w:r>
          </w:p>
        </w:tc>
        <w:tc>
          <w:tcPr>
            <w:tcW w:w="0" w:type="auto"/>
            <w:hideMark/>
          </w:tcPr>
          <w:p w14:paraId="56B9A9FD" w14:textId="77777777" w:rsidR="00C04F92" w:rsidRDefault="00C04F92">
            <w:r>
              <w:t xml:space="preserve">2 </w:t>
            </w:r>
            <w:proofErr w:type="gramStart"/>
            <w:r>
              <w:t>Billion</w:t>
            </w:r>
            <w:proofErr w:type="gramEnd"/>
          </w:p>
        </w:tc>
      </w:tr>
      <w:tr w:rsidR="00C04F92" w14:paraId="288AAA2C" w14:textId="77777777" w:rsidTr="00C04F92">
        <w:tc>
          <w:tcPr>
            <w:tcW w:w="0" w:type="auto"/>
            <w:hideMark/>
          </w:tcPr>
          <w:p w14:paraId="455C47D4" w14:textId="77777777" w:rsidR="00C04F92" w:rsidRDefault="00C04F92">
            <w:r>
              <w:t>Max size of all files per upload (Azure OpenAI on your data)</w:t>
            </w:r>
          </w:p>
        </w:tc>
        <w:tc>
          <w:tcPr>
            <w:tcW w:w="0" w:type="auto"/>
            <w:hideMark/>
          </w:tcPr>
          <w:p w14:paraId="003C68BC" w14:textId="77777777" w:rsidR="00C04F92" w:rsidRDefault="00C04F92">
            <w:r>
              <w:t>16 MB</w:t>
            </w:r>
          </w:p>
        </w:tc>
      </w:tr>
    </w:tbl>
    <w:p w14:paraId="6AAF2476" w14:textId="77777777" w:rsidR="00C04F92" w:rsidRDefault="00C04F92" w:rsidP="00C04F9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Regional quota limits</w:t>
      </w:r>
    </w:p>
    <w:p w14:paraId="5C16C039" w14:textId="77777777" w:rsidR="00C04F92" w:rsidRDefault="00C04F92" w:rsidP="00C04F92">
      <w:pPr>
        <w:pStyle w:val="NormalWeb"/>
        <w:shd w:val="clear" w:color="auto" w:fill="FFFFFF"/>
        <w:rPr>
          <w:rFonts w:ascii="Segoe UI" w:hAnsi="Segoe UI" w:cs="Segoe UI"/>
          <w:color w:val="161616"/>
        </w:rPr>
      </w:pPr>
      <w:bookmarkStart w:id="0" w:name="_Hlk154486644"/>
      <w:r w:rsidRPr="00BB0C4E">
        <w:rPr>
          <w:rFonts w:ascii="Segoe UI" w:hAnsi="Segoe UI" w:cs="Segoe UI"/>
          <w:color w:val="161616"/>
          <w:highlight w:val="yellow"/>
        </w:rPr>
        <w:t>The default quota for models varies by model and region. Default quota limits are subject to change.</w:t>
      </w:r>
    </w:p>
    <w:bookmarkEnd w:id="0"/>
    <w:p w14:paraId="6FD9201F" w14:textId="77777777" w:rsidR="00C04F92" w:rsidRDefault="00C04F92" w:rsidP="00C04F92">
      <w:pPr>
        <w:shd w:val="clear" w:color="auto" w:fill="FFFFFF"/>
        <w:rPr>
          <w:rFonts w:ascii="Segoe UI" w:hAnsi="Segoe UI" w:cs="Segoe UI"/>
          <w:color w:val="161616"/>
        </w:rPr>
      </w:pPr>
      <w:r>
        <w:rPr>
          <w:rFonts w:ascii="Segoe UI" w:hAnsi="Segoe UI" w:cs="Segoe UI"/>
          <w:color w:val="161616"/>
        </w:rPr>
        <w:t xml:space="preserve">Expand </w:t>
      </w:r>
      <w:proofErr w:type="gramStart"/>
      <w:r>
        <w:rPr>
          <w:rFonts w:ascii="Segoe UI" w:hAnsi="Segoe UI" w:cs="Segoe UI"/>
          <w:color w:val="161616"/>
        </w:rPr>
        <w:t>table</w:t>
      </w:r>
      <w:proofErr w:type="gramEnd"/>
    </w:p>
    <w:tbl>
      <w:tblPr>
        <w:tblW w:w="8395" w:type="dxa"/>
        <w:tblCellMar>
          <w:top w:w="15" w:type="dxa"/>
          <w:left w:w="15" w:type="dxa"/>
          <w:bottom w:w="15" w:type="dxa"/>
          <w:right w:w="15" w:type="dxa"/>
        </w:tblCellMar>
        <w:tblLook w:val="04A0" w:firstRow="1" w:lastRow="0" w:firstColumn="1" w:lastColumn="0" w:noHBand="0" w:noVBand="1"/>
      </w:tblPr>
      <w:tblGrid>
        <w:gridCol w:w="2915"/>
        <w:gridCol w:w="4415"/>
        <w:gridCol w:w="1065"/>
      </w:tblGrid>
      <w:tr w:rsidR="00C04F92" w14:paraId="2D071FFD" w14:textId="77777777" w:rsidTr="00C04F92">
        <w:tc>
          <w:tcPr>
            <w:tcW w:w="0" w:type="auto"/>
            <w:hideMark/>
          </w:tcPr>
          <w:p w14:paraId="77B24829" w14:textId="77777777" w:rsidR="00C04F92" w:rsidRDefault="00C04F92">
            <w:pPr>
              <w:rPr>
                <w:rFonts w:ascii="Times New Roman" w:hAnsi="Times New Roman" w:cs="Times New Roman"/>
                <w:b/>
                <w:bCs/>
              </w:rPr>
            </w:pPr>
            <w:r>
              <w:rPr>
                <w:b/>
                <w:bCs/>
              </w:rPr>
              <w:t>Model</w:t>
            </w:r>
          </w:p>
        </w:tc>
        <w:tc>
          <w:tcPr>
            <w:tcW w:w="0" w:type="auto"/>
            <w:hideMark/>
          </w:tcPr>
          <w:p w14:paraId="0D873353" w14:textId="77777777" w:rsidR="00C04F92" w:rsidRDefault="00C04F92">
            <w:pPr>
              <w:rPr>
                <w:b/>
                <w:bCs/>
              </w:rPr>
            </w:pPr>
            <w:r>
              <w:rPr>
                <w:b/>
                <w:bCs/>
              </w:rPr>
              <w:t>Regions</w:t>
            </w:r>
          </w:p>
        </w:tc>
        <w:tc>
          <w:tcPr>
            <w:tcW w:w="0" w:type="auto"/>
            <w:hideMark/>
          </w:tcPr>
          <w:p w14:paraId="16C8B652" w14:textId="77777777" w:rsidR="00C04F92" w:rsidRDefault="00C04F92">
            <w:pPr>
              <w:rPr>
                <w:b/>
                <w:bCs/>
              </w:rPr>
            </w:pPr>
            <w:r>
              <w:rPr>
                <w:b/>
                <w:bCs/>
              </w:rPr>
              <w:t>Tokens per minute</w:t>
            </w:r>
          </w:p>
        </w:tc>
      </w:tr>
      <w:tr w:rsidR="00C04F92" w14:paraId="4B2EED76" w14:textId="77777777" w:rsidTr="00C04F92">
        <w:tc>
          <w:tcPr>
            <w:tcW w:w="0" w:type="auto"/>
            <w:vMerge w:val="restart"/>
            <w:hideMark/>
          </w:tcPr>
          <w:p w14:paraId="0562E93B" w14:textId="77777777" w:rsidR="00C04F92" w:rsidRDefault="00C04F92">
            <w:r>
              <w:t>gpt-35-turbo</w:t>
            </w:r>
          </w:p>
        </w:tc>
        <w:tc>
          <w:tcPr>
            <w:tcW w:w="0" w:type="auto"/>
            <w:hideMark/>
          </w:tcPr>
          <w:p w14:paraId="3E9A3860" w14:textId="77777777" w:rsidR="00C04F92" w:rsidRDefault="00C04F92">
            <w:r>
              <w:t>East US, South Central US, West Europe, France Central, UK South</w:t>
            </w:r>
          </w:p>
        </w:tc>
        <w:tc>
          <w:tcPr>
            <w:tcW w:w="0" w:type="auto"/>
            <w:hideMark/>
          </w:tcPr>
          <w:p w14:paraId="3D71A0B4" w14:textId="77777777" w:rsidR="00C04F92" w:rsidRDefault="00C04F92">
            <w:r>
              <w:t>240 K</w:t>
            </w:r>
          </w:p>
        </w:tc>
      </w:tr>
      <w:tr w:rsidR="00C04F92" w14:paraId="7404D786" w14:textId="77777777" w:rsidTr="00C04F92">
        <w:tc>
          <w:tcPr>
            <w:tcW w:w="0" w:type="auto"/>
            <w:vMerge/>
            <w:vAlign w:val="center"/>
            <w:hideMark/>
          </w:tcPr>
          <w:p w14:paraId="62589A10" w14:textId="77777777" w:rsidR="00C04F92" w:rsidRDefault="00C04F92">
            <w:pPr>
              <w:rPr>
                <w:sz w:val="24"/>
                <w:szCs w:val="24"/>
              </w:rPr>
            </w:pPr>
          </w:p>
        </w:tc>
        <w:tc>
          <w:tcPr>
            <w:tcW w:w="0" w:type="auto"/>
            <w:hideMark/>
          </w:tcPr>
          <w:p w14:paraId="7C1B3B9D" w14:textId="77777777" w:rsidR="00C04F92" w:rsidRDefault="00C04F92">
            <w:r>
              <w:t>North Central US, Australia East, East US 2, Canada East, Japan East, Sweden Central, Switzerland North</w:t>
            </w:r>
          </w:p>
        </w:tc>
        <w:tc>
          <w:tcPr>
            <w:tcW w:w="0" w:type="auto"/>
            <w:hideMark/>
          </w:tcPr>
          <w:p w14:paraId="3BCAF424" w14:textId="77777777" w:rsidR="00C04F92" w:rsidRDefault="00C04F92">
            <w:r>
              <w:t>300 K</w:t>
            </w:r>
          </w:p>
        </w:tc>
      </w:tr>
      <w:tr w:rsidR="00C04F92" w14:paraId="178DF132" w14:textId="77777777" w:rsidTr="00C04F92">
        <w:tc>
          <w:tcPr>
            <w:tcW w:w="0" w:type="auto"/>
            <w:vMerge w:val="restart"/>
            <w:hideMark/>
          </w:tcPr>
          <w:p w14:paraId="78CD36B3" w14:textId="77777777" w:rsidR="00C04F92" w:rsidRDefault="00C04F92">
            <w:r>
              <w:t>gpt-35-turbo-16k</w:t>
            </w:r>
          </w:p>
        </w:tc>
        <w:tc>
          <w:tcPr>
            <w:tcW w:w="0" w:type="auto"/>
            <w:hideMark/>
          </w:tcPr>
          <w:p w14:paraId="73B85727" w14:textId="77777777" w:rsidR="00C04F92" w:rsidRDefault="00C04F92">
            <w:r>
              <w:t>East US, South Central US, West Europe, France Central, UK South</w:t>
            </w:r>
          </w:p>
        </w:tc>
        <w:tc>
          <w:tcPr>
            <w:tcW w:w="0" w:type="auto"/>
            <w:hideMark/>
          </w:tcPr>
          <w:p w14:paraId="01F46331" w14:textId="77777777" w:rsidR="00C04F92" w:rsidRDefault="00C04F92">
            <w:r>
              <w:t>240 K</w:t>
            </w:r>
          </w:p>
        </w:tc>
      </w:tr>
      <w:tr w:rsidR="00C04F92" w14:paraId="69BFE7F7" w14:textId="77777777" w:rsidTr="00C04F92">
        <w:tc>
          <w:tcPr>
            <w:tcW w:w="0" w:type="auto"/>
            <w:vMerge/>
            <w:vAlign w:val="center"/>
            <w:hideMark/>
          </w:tcPr>
          <w:p w14:paraId="3B6ACCF4" w14:textId="77777777" w:rsidR="00C04F92" w:rsidRDefault="00C04F92">
            <w:pPr>
              <w:rPr>
                <w:sz w:val="24"/>
                <w:szCs w:val="24"/>
              </w:rPr>
            </w:pPr>
          </w:p>
        </w:tc>
        <w:tc>
          <w:tcPr>
            <w:tcW w:w="0" w:type="auto"/>
            <w:hideMark/>
          </w:tcPr>
          <w:p w14:paraId="0B45898E" w14:textId="77777777" w:rsidR="00C04F92" w:rsidRDefault="00C04F92">
            <w:r>
              <w:t>North Central US, Australia East, East US 2, Canada East, Japan East, Sweden Central, Switzerland North</w:t>
            </w:r>
          </w:p>
        </w:tc>
        <w:tc>
          <w:tcPr>
            <w:tcW w:w="0" w:type="auto"/>
            <w:hideMark/>
          </w:tcPr>
          <w:p w14:paraId="05BAC90F" w14:textId="77777777" w:rsidR="00C04F92" w:rsidRDefault="00C04F92">
            <w:r>
              <w:t>300 K</w:t>
            </w:r>
          </w:p>
        </w:tc>
      </w:tr>
      <w:tr w:rsidR="00C04F92" w14:paraId="5B1AF797" w14:textId="77777777" w:rsidTr="00C04F92">
        <w:tc>
          <w:tcPr>
            <w:tcW w:w="0" w:type="auto"/>
            <w:hideMark/>
          </w:tcPr>
          <w:p w14:paraId="0232CC52" w14:textId="77777777" w:rsidR="00C04F92" w:rsidRDefault="00C04F92">
            <w:r>
              <w:t>gpt-35-turbo-instruct</w:t>
            </w:r>
          </w:p>
        </w:tc>
        <w:tc>
          <w:tcPr>
            <w:tcW w:w="0" w:type="auto"/>
            <w:hideMark/>
          </w:tcPr>
          <w:p w14:paraId="71D5143E" w14:textId="77777777" w:rsidR="00C04F92" w:rsidRDefault="00C04F92">
            <w:r>
              <w:t>East US, Sweden Central</w:t>
            </w:r>
          </w:p>
        </w:tc>
        <w:tc>
          <w:tcPr>
            <w:tcW w:w="0" w:type="auto"/>
            <w:hideMark/>
          </w:tcPr>
          <w:p w14:paraId="1676800C" w14:textId="77777777" w:rsidR="00C04F92" w:rsidRDefault="00C04F92">
            <w:r>
              <w:t>240 K</w:t>
            </w:r>
          </w:p>
        </w:tc>
      </w:tr>
      <w:tr w:rsidR="00C04F92" w14:paraId="7AF1BBF7" w14:textId="77777777" w:rsidTr="00C04F92">
        <w:tc>
          <w:tcPr>
            <w:tcW w:w="0" w:type="auto"/>
            <w:hideMark/>
          </w:tcPr>
          <w:p w14:paraId="349954A4" w14:textId="77777777" w:rsidR="00C04F92" w:rsidRDefault="00C04F92">
            <w:r>
              <w:lastRenderedPageBreak/>
              <w:t>gpt-35-turbo (1106)</w:t>
            </w:r>
          </w:p>
        </w:tc>
        <w:tc>
          <w:tcPr>
            <w:tcW w:w="0" w:type="auto"/>
            <w:hideMark/>
          </w:tcPr>
          <w:p w14:paraId="7950E9EC" w14:textId="77777777" w:rsidR="00C04F92" w:rsidRDefault="00C04F92">
            <w:r>
              <w:t>Australia East, Canada East, France Central, South India, Sweden Central, UK South, West US</w:t>
            </w:r>
          </w:p>
        </w:tc>
        <w:tc>
          <w:tcPr>
            <w:tcW w:w="0" w:type="auto"/>
            <w:hideMark/>
          </w:tcPr>
          <w:p w14:paraId="302AF47A" w14:textId="77777777" w:rsidR="00C04F92" w:rsidRDefault="00C04F92">
            <w:r>
              <w:t>120 K</w:t>
            </w:r>
          </w:p>
        </w:tc>
      </w:tr>
      <w:tr w:rsidR="00C04F92" w14:paraId="4F2BFEEB" w14:textId="77777777" w:rsidTr="00C04F92">
        <w:tc>
          <w:tcPr>
            <w:tcW w:w="0" w:type="auto"/>
            <w:vMerge w:val="restart"/>
            <w:hideMark/>
          </w:tcPr>
          <w:p w14:paraId="26C4F628" w14:textId="77777777" w:rsidR="00C04F92" w:rsidRDefault="00C04F92">
            <w:r>
              <w:t>gpt-4</w:t>
            </w:r>
          </w:p>
        </w:tc>
        <w:tc>
          <w:tcPr>
            <w:tcW w:w="0" w:type="auto"/>
            <w:hideMark/>
          </w:tcPr>
          <w:p w14:paraId="6D242715" w14:textId="77777777" w:rsidR="00C04F92" w:rsidRDefault="00C04F92">
            <w:r>
              <w:t>East US, South Central US, France Central</w:t>
            </w:r>
          </w:p>
        </w:tc>
        <w:tc>
          <w:tcPr>
            <w:tcW w:w="0" w:type="auto"/>
            <w:hideMark/>
          </w:tcPr>
          <w:p w14:paraId="1EFC4692" w14:textId="77777777" w:rsidR="00C04F92" w:rsidRDefault="00C04F92">
            <w:r>
              <w:t>20 K</w:t>
            </w:r>
          </w:p>
        </w:tc>
      </w:tr>
      <w:tr w:rsidR="00C04F92" w14:paraId="2C9D16C1" w14:textId="77777777" w:rsidTr="00C04F92">
        <w:tc>
          <w:tcPr>
            <w:tcW w:w="0" w:type="auto"/>
            <w:vMerge/>
            <w:vAlign w:val="center"/>
            <w:hideMark/>
          </w:tcPr>
          <w:p w14:paraId="65DF59D5" w14:textId="77777777" w:rsidR="00C04F92" w:rsidRDefault="00C04F92">
            <w:pPr>
              <w:rPr>
                <w:sz w:val="24"/>
                <w:szCs w:val="24"/>
              </w:rPr>
            </w:pPr>
          </w:p>
        </w:tc>
        <w:tc>
          <w:tcPr>
            <w:tcW w:w="0" w:type="auto"/>
            <w:hideMark/>
          </w:tcPr>
          <w:p w14:paraId="44861FC3" w14:textId="77777777" w:rsidR="00C04F92" w:rsidRDefault="00C04F92">
            <w:r>
              <w:t>North Central US, Australia East, East US 2, Canada East, Japan East, UK South, Sweden Central, Switzerland North</w:t>
            </w:r>
          </w:p>
        </w:tc>
        <w:tc>
          <w:tcPr>
            <w:tcW w:w="0" w:type="auto"/>
            <w:hideMark/>
          </w:tcPr>
          <w:p w14:paraId="687D5E71" w14:textId="77777777" w:rsidR="00C04F92" w:rsidRDefault="00C04F92">
            <w:r>
              <w:t>40 K</w:t>
            </w:r>
          </w:p>
        </w:tc>
      </w:tr>
      <w:tr w:rsidR="00C04F92" w14:paraId="2550A325" w14:textId="77777777" w:rsidTr="00C04F92">
        <w:tc>
          <w:tcPr>
            <w:tcW w:w="0" w:type="auto"/>
            <w:vMerge w:val="restart"/>
            <w:hideMark/>
          </w:tcPr>
          <w:p w14:paraId="217EADB3" w14:textId="77777777" w:rsidR="00C04F92" w:rsidRDefault="00C04F92">
            <w:r>
              <w:t>gpt-4-32k</w:t>
            </w:r>
          </w:p>
        </w:tc>
        <w:tc>
          <w:tcPr>
            <w:tcW w:w="0" w:type="auto"/>
            <w:hideMark/>
          </w:tcPr>
          <w:p w14:paraId="13DA7FBA" w14:textId="77777777" w:rsidR="00C04F92" w:rsidRDefault="00C04F92">
            <w:r>
              <w:t>East US, South Central US, France Central</w:t>
            </w:r>
          </w:p>
        </w:tc>
        <w:tc>
          <w:tcPr>
            <w:tcW w:w="0" w:type="auto"/>
            <w:hideMark/>
          </w:tcPr>
          <w:p w14:paraId="4062B1ED" w14:textId="77777777" w:rsidR="00C04F92" w:rsidRDefault="00C04F92">
            <w:r>
              <w:t>60 K</w:t>
            </w:r>
          </w:p>
        </w:tc>
      </w:tr>
      <w:tr w:rsidR="00C04F92" w14:paraId="309EEE43" w14:textId="77777777" w:rsidTr="00C04F92">
        <w:tc>
          <w:tcPr>
            <w:tcW w:w="0" w:type="auto"/>
            <w:vMerge/>
            <w:vAlign w:val="center"/>
            <w:hideMark/>
          </w:tcPr>
          <w:p w14:paraId="218F9850" w14:textId="77777777" w:rsidR="00C04F92" w:rsidRDefault="00C04F92">
            <w:pPr>
              <w:rPr>
                <w:sz w:val="24"/>
                <w:szCs w:val="24"/>
              </w:rPr>
            </w:pPr>
          </w:p>
        </w:tc>
        <w:tc>
          <w:tcPr>
            <w:tcW w:w="0" w:type="auto"/>
            <w:hideMark/>
          </w:tcPr>
          <w:p w14:paraId="1CD2EEAF" w14:textId="77777777" w:rsidR="00C04F92" w:rsidRDefault="00C04F92">
            <w:r>
              <w:t>North Central US, Australia East, East US 2, Canada East, Japan East, UK South, Sweden Central, Switzerland North</w:t>
            </w:r>
          </w:p>
        </w:tc>
        <w:tc>
          <w:tcPr>
            <w:tcW w:w="0" w:type="auto"/>
            <w:hideMark/>
          </w:tcPr>
          <w:p w14:paraId="631B7D33" w14:textId="77777777" w:rsidR="00C04F92" w:rsidRDefault="00C04F92">
            <w:r>
              <w:t>80 K</w:t>
            </w:r>
          </w:p>
        </w:tc>
      </w:tr>
      <w:tr w:rsidR="00C04F92" w14:paraId="0DB36A64" w14:textId="77777777" w:rsidTr="00C04F92">
        <w:tc>
          <w:tcPr>
            <w:tcW w:w="0" w:type="auto"/>
            <w:vMerge w:val="restart"/>
            <w:hideMark/>
          </w:tcPr>
          <w:p w14:paraId="5C2746EC" w14:textId="77777777" w:rsidR="00C04F92" w:rsidRDefault="00C04F92">
            <w:r>
              <w:t>gpt-4 (1106-preview)</w:t>
            </w:r>
            <w:r>
              <w:br/>
              <w:t>GPT-4 Turbo</w:t>
            </w:r>
          </w:p>
        </w:tc>
        <w:tc>
          <w:tcPr>
            <w:tcW w:w="0" w:type="auto"/>
            <w:hideMark/>
          </w:tcPr>
          <w:p w14:paraId="69D8A99E" w14:textId="77777777" w:rsidR="00C04F92" w:rsidRDefault="00C04F92">
            <w:r>
              <w:t>Australia East, Canada East, East US 2, France Central, UK South, West US</w:t>
            </w:r>
          </w:p>
        </w:tc>
        <w:tc>
          <w:tcPr>
            <w:tcW w:w="0" w:type="auto"/>
            <w:hideMark/>
          </w:tcPr>
          <w:p w14:paraId="37F00317" w14:textId="77777777" w:rsidR="00C04F92" w:rsidRDefault="00C04F92">
            <w:r>
              <w:t>80 K</w:t>
            </w:r>
          </w:p>
        </w:tc>
      </w:tr>
      <w:tr w:rsidR="00C04F92" w14:paraId="28422BF2" w14:textId="77777777" w:rsidTr="00C04F92">
        <w:tc>
          <w:tcPr>
            <w:tcW w:w="0" w:type="auto"/>
            <w:vMerge/>
            <w:vAlign w:val="center"/>
            <w:hideMark/>
          </w:tcPr>
          <w:p w14:paraId="37053A6C" w14:textId="77777777" w:rsidR="00C04F92" w:rsidRDefault="00C04F92">
            <w:pPr>
              <w:rPr>
                <w:sz w:val="24"/>
                <w:szCs w:val="24"/>
              </w:rPr>
            </w:pPr>
          </w:p>
        </w:tc>
        <w:tc>
          <w:tcPr>
            <w:tcW w:w="0" w:type="auto"/>
            <w:hideMark/>
          </w:tcPr>
          <w:p w14:paraId="5E9F0EA2" w14:textId="77777777" w:rsidR="00C04F92" w:rsidRDefault="00C04F92">
            <w:r>
              <w:t>South India, Norway East, Sweden Central</w:t>
            </w:r>
          </w:p>
        </w:tc>
        <w:tc>
          <w:tcPr>
            <w:tcW w:w="0" w:type="auto"/>
            <w:hideMark/>
          </w:tcPr>
          <w:p w14:paraId="17014F0C" w14:textId="77777777" w:rsidR="00C04F92" w:rsidRDefault="00C04F92">
            <w:r>
              <w:t>150 K</w:t>
            </w:r>
          </w:p>
        </w:tc>
      </w:tr>
      <w:tr w:rsidR="00C04F92" w14:paraId="14C68377" w14:textId="77777777" w:rsidTr="00C04F92">
        <w:tc>
          <w:tcPr>
            <w:tcW w:w="0" w:type="auto"/>
            <w:hideMark/>
          </w:tcPr>
          <w:p w14:paraId="0D9C9951" w14:textId="77777777" w:rsidR="00C04F92" w:rsidRDefault="00C04F92">
            <w:r>
              <w:t>gpt-4 (vision-preview)</w:t>
            </w:r>
            <w:r>
              <w:br/>
              <w:t>GPT-4 Turbo with Vision</w:t>
            </w:r>
          </w:p>
        </w:tc>
        <w:tc>
          <w:tcPr>
            <w:tcW w:w="0" w:type="auto"/>
            <w:hideMark/>
          </w:tcPr>
          <w:p w14:paraId="4BB266F5" w14:textId="77777777" w:rsidR="00C04F92" w:rsidRDefault="00C04F92">
            <w:r>
              <w:t>Sweden Central, Switzerland North, Australia East, West US</w:t>
            </w:r>
          </w:p>
        </w:tc>
        <w:tc>
          <w:tcPr>
            <w:tcW w:w="0" w:type="auto"/>
            <w:hideMark/>
          </w:tcPr>
          <w:p w14:paraId="16249721" w14:textId="77777777" w:rsidR="00C04F92" w:rsidRDefault="00C04F92">
            <w:r>
              <w:t>10 K</w:t>
            </w:r>
          </w:p>
        </w:tc>
      </w:tr>
      <w:tr w:rsidR="00C04F92" w14:paraId="6F94B79B" w14:textId="77777777" w:rsidTr="00C04F92">
        <w:tc>
          <w:tcPr>
            <w:tcW w:w="0" w:type="auto"/>
            <w:vMerge w:val="restart"/>
            <w:hideMark/>
          </w:tcPr>
          <w:p w14:paraId="1EAE21BB" w14:textId="77777777" w:rsidR="00C04F92" w:rsidRDefault="00C04F92">
            <w:r>
              <w:t>text-embedding-ada-002</w:t>
            </w:r>
          </w:p>
        </w:tc>
        <w:tc>
          <w:tcPr>
            <w:tcW w:w="0" w:type="auto"/>
            <w:hideMark/>
          </w:tcPr>
          <w:p w14:paraId="1950D0F0" w14:textId="77777777" w:rsidR="00C04F92" w:rsidRDefault="00C04F92">
            <w:r>
              <w:t>East US, South Central US, West Europe, France Central</w:t>
            </w:r>
          </w:p>
        </w:tc>
        <w:tc>
          <w:tcPr>
            <w:tcW w:w="0" w:type="auto"/>
            <w:hideMark/>
          </w:tcPr>
          <w:p w14:paraId="4C6C3E09" w14:textId="77777777" w:rsidR="00C04F92" w:rsidRDefault="00C04F92">
            <w:r>
              <w:t>240 K</w:t>
            </w:r>
          </w:p>
        </w:tc>
      </w:tr>
      <w:tr w:rsidR="00C04F92" w14:paraId="38B5B2F6" w14:textId="77777777" w:rsidTr="00C04F92">
        <w:tc>
          <w:tcPr>
            <w:tcW w:w="0" w:type="auto"/>
            <w:vMerge/>
            <w:vAlign w:val="center"/>
            <w:hideMark/>
          </w:tcPr>
          <w:p w14:paraId="3754BB6E" w14:textId="77777777" w:rsidR="00C04F92" w:rsidRDefault="00C04F92">
            <w:pPr>
              <w:rPr>
                <w:sz w:val="24"/>
                <w:szCs w:val="24"/>
              </w:rPr>
            </w:pPr>
          </w:p>
        </w:tc>
        <w:tc>
          <w:tcPr>
            <w:tcW w:w="0" w:type="auto"/>
            <w:hideMark/>
          </w:tcPr>
          <w:p w14:paraId="48A74A32" w14:textId="77777777" w:rsidR="00C04F92" w:rsidRDefault="00C04F92">
            <w:r>
              <w:t>North Central US, Australia East, East US 2, Canada East, Japan East, UK South, Switzerland North</w:t>
            </w:r>
          </w:p>
        </w:tc>
        <w:tc>
          <w:tcPr>
            <w:tcW w:w="0" w:type="auto"/>
            <w:hideMark/>
          </w:tcPr>
          <w:p w14:paraId="54D634D5" w14:textId="77777777" w:rsidR="00C04F92" w:rsidRDefault="00C04F92">
            <w:r>
              <w:t>350 K</w:t>
            </w:r>
          </w:p>
        </w:tc>
      </w:tr>
      <w:tr w:rsidR="00C04F92" w14:paraId="64665B62" w14:textId="77777777" w:rsidTr="00C04F92">
        <w:tc>
          <w:tcPr>
            <w:tcW w:w="0" w:type="auto"/>
            <w:hideMark/>
          </w:tcPr>
          <w:p w14:paraId="2D9F4A34" w14:textId="77777777" w:rsidR="00C04F92" w:rsidRDefault="00C04F92">
            <w:r>
              <w:t>Fine-tuning models (babbage-002, davinci-002, gpt-35-turbo-0613)</w:t>
            </w:r>
          </w:p>
        </w:tc>
        <w:tc>
          <w:tcPr>
            <w:tcW w:w="0" w:type="auto"/>
            <w:hideMark/>
          </w:tcPr>
          <w:p w14:paraId="52EE87A1" w14:textId="77777777" w:rsidR="00C04F92" w:rsidRDefault="00C04F92">
            <w:r>
              <w:t>North Central US, Sweden Central</w:t>
            </w:r>
          </w:p>
        </w:tc>
        <w:tc>
          <w:tcPr>
            <w:tcW w:w="0" w:type="auto"/>
            <w:hideMark/>
          </w:tcPr>
          <w:p w14:paraId="23D6040E" w14:textId="77777777" w:rsidR="00C04F92" w:rsidRDefault="00C04F92">
            <w:r>
              <w:t>50 K</w:t>
            </w:r>
          </w:p>
        </w:tc>
      </w:tr>
      <w:tr w:rsidR="00C04F92" w14:paraId="5AB6225C" w14:textId="77777777" w:rsidTr="00C04F92">
        <w:tc>
          <w:tcPr>
            <w:tcW w:w="0" w:type="auto"/>
            <w:hideMark/>
          </w:tcPr>
          <w:p w14:paraId="45CCB7B0" w14:textId="77777777" w:rsidR="00C04F92" w:rsidRDefault="00C04F92">
            <w:r>
              <w:t>all other models</w:t>
            </w:r>
          </w:p>
        </w:tc>
        <w:tc>
          <w:tcPr>
            <w:tcW w:w="0" w:type="auto"/>
            <w:hideMark/>
          </w:tcPr>
          <w:p w14:paraId="59AFA2CB" w14:textId="77777777" w:rsidR="00C04F92" w:rsidRDefault="00C04F92">
            <w:r>
              <w:t>East US, South Central US, West Europe, France Central</w:t>
            </w:r>
          </w:p>
        </w:tc>
        <w:tc>
          <w:tcPr>
            <w:tcW w:w="0" w:type="auto"/>
            <w:hideMark/>
          </w:tcPr>
          <w:p w14:paraId="42052701" w14:textId="77777777" w:rsidR="00C04F92" w:rsidRDefault="00C04F92">
            <w:r>
              <w:t>120 K</w:t>
            </w:r>
          </w:p>
        </w:tc>
      </w:tr>
    </w:tbl>
    <w:p w14:paraId="18510AD3" w14:textId="77777777" w:rsidR="00C04F92" w:rsidRDefault="00C04F92" w:rsidP="00C04F92">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 xml:space="preserve">General best practices to remain within rate </w:t>
      </w:r>
      <w:proofErr w:type="gramStart"/>
      <w:r>
        <w:rPr>
          <w:rFonts w:ascii="Segoe UI" w:hAnsi="Segoe UI" w:cs="Segoe UI"/>
          <w:color w:val="161616"/>
        </w:rPr>
        <w:t>limits</w:t>
      </w:r>
      <w:proofErr w:type="gramEnd"/>
    </w:p>
    <w:p w14:paraId="78190D9A"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To minimize issues related to rate limits, it's a good idea to use the following techniques:</w:t>
      </w:r>
    </w:p>
    <w:p w14:paraId="742BBBB0" w14:textId="77777777" w:rsidR="00C04F92" w:rsidRDefault="00C04F92" w:rsidP="00C04F9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Implement retry logic in your application.</w:t>
      </w:r>
    </w:p>
    <w:p w14:paraId="4CCC3AC2" w14:textId="77777777" w:rsidR="00C04F92" w:rsidRDefault="00C04F92" w:rsidP="00C04F9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Avoid sharp changes in the workload. Increase the workload gradually.</w:t>
      </w:r>
    </w:p>
    <w:p w14:paraId="51F70D00" w14:textId="77777777" w:rsidR="00C04F92" w:rsidRDefault="00C04F92" w:rsidP="00C04F9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Test different load increase patterns.</w:t>
      </w:r>
    </w:p>
    <w:p w14:paraId="0DBAA1C1" w14:textId="77777777" w:rsidR="00C04F92" w:rsidRDefault="00C04F92" w:rsidP="00C04F9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Increase the quota assigned to your deployment. Move quota from another deployment, if necessary.</w:t>
      </w:r>
    </w:p>
    <w:p w14:paraId="4BDC1A0B" w14:textId="77777777" w:rsidR="00C04F92" w:rsidRDefault="00C04F92" w:rsidP="00C04F92">
      <w:pPr>
        <w:pStyle w:val="Heading3"/>
        <w:shd w:val="clear" w:color="auto" w:fill="FFFFFF"/>
        <w:spacing w:before="450" w:beforeAutospacing="0" w:after="270" w:afterAutospacing="0"/>
        <w:rPr>
          <w:rFonts w:ascii="Segoe UI" w:hAnsi="Segoe UI" w:cs="Segoe UI"/>
          <w:color w:val="161616"/>
        </w:rPr>
      </w:pPr>
      <w:r>
        <w:rPr>
          <w:rFonts w:ascii="Segoe UI" w:hAnsi="Segoe UI" w:cs="Segoe UI"/>
          <w:color w:val="161616"/>
        </w:rPr>
        <w:t>How to request increases to the default quotas and limits</w:t>
      </w:r>
    </w:p>
    <w:p w14:paraId="55DFE2EC"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Quota increase requests can be submitted from the </w:t>
      </w:r>
      <w:hyperlink r:id="rId12" w:history="1">
        <w:r>
          <w:rPr>
            <w:rStyle w:val="Hyperlink"/>
            <w:rFonts w:ascii="Segoe UI" w:hAnsi="Segoe UI" w:cs="Segoe UI"/>
          </w:rPr>
          <w:t>Quo</w:t>
        </w:r>
        <w:r>
          <w:rPr>
            <w:rStyle w:val="Hyperlink"/>
            <w:rFonts w:ascii="Segoe UI" w:hAnsi="Segoe UI" w:cs="Segoe UI"/>
          </w:rPr>
          <w:t>tas</w:t>
        </w:r>
      </w:hyperlink>
      <w:r>
        <w:rPr>
          <w:rFonts w:ascii="Segoe UI" w:hAnsi="Segoe UI" w:cs="Segoe UI"/>
          <w:color w:val="161616"/>
        </w:rPr>
        <w:t> page of Azure OpenAI Studio. Please note that due to overwhelming demand, quota increase requests are being accepted and will be filled in the order they are received. Priority will be given to customers who generate traffic that consumes the existing quota allocation, and your request may be denied if this condition is not met.</w:t>
      </w:r>
    </w:p>
    <w:p w14:paraId="09116A27"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For other rate limits, please </w:t>
      </w:r>
      <w:hyperlink r:id="rId13" w:history="1">
        <w:r>
          <w:rPr>
            <w:rStyle w:val="Hyperlink"/>
            <w:rFonts w:ascii="Segoe UI" w:hAnsi="Segoe UI" w:cs="Segoe UI"/>
          </w:rPr>
          <w:t>submit a service request</w:t>
        </w:r>
      </w:hyperlink>
      <w:r>
        <w:rPr>
          <w:rFonts w:ascii="Segoe UI" w:hAnsi="Segoe UI" w:cs="Segoe UI"/>
          <w:color w:val="161616"/>
        </w:rPr>
        <w:t>.</w:t>
      </w:r>
    </w:p>
    <w:p w14:paraId="7C221BA7" w14:textId="77777777" w:rsidR="00C04F92" w:rsidRDefault="00C04F92" w:rsidP="00C04F9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14:paraId="438BCC6E" w14:textId="77777777" w:rsidR="00C04F92" w:rsidRDefault="00C04F92" w:rsidP="00C04F92">
      <w:pPr>
        <w:pStyle w:val="NormalWeb"/>
        <w:shd w:val="clear" w:color="auto" w:fill="FFFFFF"/>
        <w:rPr>
          <w:rFonts w:ascii="Segoe UI" w:hAnsi="Segoe UI" w:cs="Segoe UI"/>
          <w:color w:val="161616"/>
        </w:rPr>
      </w:pPr>
      <w:r>
        <w:rPr>
          <w:rFonts w:ascii="Segoe UI" w:hAnsi="Segoe UI" w:cs="Segoe UI"/>
          <w:color w:val="161616"/>
        </w:rPr>
        <w:t>Explore how to </w:t>
      </w:r>
      <w:hyperlink r:id="rId14" w:history="1">
        <w:r>
          <w:rPr>
            <w:rStyle w:val="Hyperlink"/>
            <w:rFonts w:ascii="Segoe UI" w:hAnsi="Segoe UI" w:cs="Segoe UI"/>
          </w:rPr>
          <w:t>manage quota</w:t>
        </w:r>
      </w:hyperlink>
      <w:r>
        <w:rPr>
          <w:rFonts w:ascii="Segoe UI" w:hAnsi="Segoe UI" w:cs="Segoe UI"/>
          <w:color w:val="161616"/>
        </w:rPr>
        <w:t> for your Azure OpenAI deployments. Learn more about the </w:t>
      </w:r>
      <w:hyperlink r:id="rId15" w:history="1">
        <w:r>
          <w:rPr>
            <w:rStyle w:val="Hyperlink"/>
            <w:rFonts w:ascii="Segoe UI" w:hAnsi="Segoe UI" w:cs="Segoe UI"/>
          </w:rPr>
          <w:t>underlying models that power Azure OpenAI</w:t>
        </w:r>
      </w:hyperlink>
      <w:r>
        <w:rPr>
          <w:rFonts w:ascii="Segoe UI" w:hAnsi="Segoe UI" w:cs="Segoe UI"/>
          <w:color w:val="161616"/>
        </w:rPr>
        <w:t>.</w:t>
      </w:r>
    </w:p>
    <w:p w14:paraId="652E6E0D" w14:textId="77777777" w:rsidR="00C04F92" w:rsidRDefault="00C04F92"/>
    <w:sectPr w:rsidR="00C04F9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567F" w14:textId="77777777" w:rsidR="00337391" w:rsidRDefault="00337391" w:rsidP="00594E4D">
      <w:pPr>
        <w:spacing w:after="0" w:line="240" w:lineRule="auto"/>
      </w:pPr>
      <w:r>
        <w:separator/>
      </w:r>
    </w:p>
  </w:endnote>
  <w:endnote w:type="continuationSeparator" w:id="0">
    <w:p w14:paraId="70BF0E13" w14:textId="77777777" w:rsidR="00337391" w:rsidRDefault="00337391" w:rsidP="0059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8347" w14:textId="77777777" w:rsidR="00594E4D" w:rsidRDefault="00594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150900"/>
      <w:docPartObj>
        <w:docPartGallery w:val="Page Numbers (Bottom of Page)"/>
        <w:docPartUnique/>
      </w:docPartObj>
    </w:sdtPr>
    <w:sdtEndPr>
      <w:rPr>
        <w:noProof/>
      </w:rPr>
    </w:sdtEndPr>
    <w:sdtContent>
      <w:p w14:paraId="755584DF" w14:textId="77777777" w:rsidR="00594E4D" w:rsidRDefault="00000000">
        <w:pPr>
          <w:pStyle w:val="Footer"/>
          <w:jc w:val="right"/>
        </w:pPr>
        <w:fldSimple w:instr=" FILENAME \p \* MERGEFORMAT ">
          <w:r w:rsidR="00594E4D">
            <w:rPr>
              <w:noProof/>
            </w:rPr>
            <w:t>D:\Yue\Data_Science\Open AI &amp; GenAI + MLL\OpenAI Azure\Azure OpenAI Service quotas and limits.docx</w:t>
          </w:r>
        </w:fldSimple>
        <w:r w:rsidR="00594E4D">
          <w:t xml:space="preserve"> 12/25/2023 </w:t>
        </w:r>
        <w:r w:rsidR="00594E4D">
          <w:fldChar w:fldCharType="begin"/>
        </w:r>
        <w:r w:rsidR="00594E4D">
          <w:instrText xml:space="preserve"> PAGE   \* MERGEFORMAT </w:instrText>
        </w:r>
        <w:r w:rsidR="00594E4D">
          <w:fldChar w:fldCharType="separate"/>
        </w:r>
        <w:r w:rsidR="00594E4D">
          <w:rPr>
            <w:noProof/>
          </w:rPr>
          <w:t>2</w:t>
        </w:r>
        <w:r w:rsidR="00594E4D">
          <w:rPr>
            <w:noProof/>
          </w:rPr>
          <w:fldChar w:fldCharType="end"/>
        </w:r>
      </w:p>
    </w:sdtContent>
  </w:sdt>
  <w:p w14:paraId="6CD74C54" w14:textId="77777777" w:rsidR="00594E4D" w:rsidRDefault="00594E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E4B5" w14:textId="77777777" w:rsidR="00594E4D" w:rsidRDefault="00594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9BB6" w14:textId="77777777" w:rsidR="00337391" w:rsidRDefault="00337391" w:rsidP="00594E4D">
      <w:pPr>
        <w:spacing w:after="0" w:line="240" w:lineRule="auto"/>
      </w:pPr>
      <w:r>
        <w:separator/>
      </w:r>
    </w:p>
  </w:footnote>
  <w:footnote w:type="continuationSeparator" w:id="0">
    <w:p w14:paraId="5E207980" w14:textId="77777777" w:rsidR="00337391" w:rsidRDefault="00337391" w:rsidP="0059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D439" w14:textId="77777777" w:rsidR="00594E4D" w:rsidRDefault="00594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2AC6" w14:textId="77777777" w:rsidR="00594E4D" w:rsidRDefault="00594E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8D8E" w14:textId="77777777" w:rsidR="00594E4D" w:rsidRDefault="00594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6A1"/>
    <w:multiLevelType w:val="multilevel"/>
    <w:tmpl w:val="9C4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4213C"/>
    <w:multiLevelType w:val="multilevel"/>
    <w:tmpl w:val="602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57B17"/>
    <w:multiLevelType w:val="multilevel"/>
    <w:tmpl w:val="EEF0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656027">
    <w:abstractNumId w:val="0"/>
  </w:num>
  <w:num w:numId="2" w16cid:durableId="430048963">
    <w:abstractNumId w:val="2"/>
  </w:num>
  <w:num w:numId="3" w16cid:durableId="83318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92"/>
    <w:rsid w:val="00337391"/>
    <w:rsid w:val="0053416B"/>
    <w:rsid w:val="00594E4D"/>
    <w:rsid w:val="005A3600"/>
    <w:rsid w:val="005A7E1A"/>
    <w:rsid w:val="00656C5B"/>
    <w:rsid w:val="00A451BC"/>
    <w:rsid w:val="00BB0C4E"/>
    <w:rsid w:val="00C04F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963E"/>
  <w15:chartTrackingRefBased/>
  <w15:docId w15:val="{C8E11256-4CBA-44F6-AA9B-1A96112D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F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4F9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C04F9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F92"/>
    <w:rPr>
      <w:color w:val="0563C1" w:themeColor="hyperlink"/>
      <w:u w:val="single"/>
    </w:rPr>
  </w:style>
  <w:style w:type="character" w:styleId="UnresolvedMention">
    <w:name w:val="Unresolved Mention"/>
    <w:basedOn w:val="DefaultParagraphFont"/>
    <w:uiPriority w:val="99"/>
    <w:semiHidden/>
    <w:unhideWhenUsed/>
    <w:rsid w:val="00C04F92"/>
    <w:rPr>
      <w:color w:val="605E5C"/>
      <w:shd w:val="clear" w:color="auto" w:fill="E1DFDD"/>
    </w:rPr>
  </w:style>
  <w:style w:type="character" w:customStyle="1" w:styleId="Heading1Char">
    <w:name w:val="Heading 1 Char"/>
    <w:basedOn w:val="DefaultParagraphFont"/>
    <w:link w:val="Heading1"/>
    <w:uiPriority w:val="9"/>
    <w:rsid w:val="00C04F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4F9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04F92"/>
    <w:rPr>
      <w:rFonts w:ascii="Times New Roman" w:eastAsia="Times New Roman" w:hAnsi="Times New Roman" w:cs="Times New Roman"/>
      <w:b/>
      <w:bCs/>
      <w:kern w:val="0"/>
      <w:sz w:val="27"/>
      <w:szCs w:val="27"/>
    </w:rPr>
  </w:style>
  <w:style w:type="paragraph" w:customStyle="1" w:styleId="visibility-hidden-visual-diff">
    <w:name w:val="visibility-hidden-visual-diff"/>
    <w:basedOn w:val="Normal"/>
    <w:rsid w:val="00C04F92"/>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ntributors-holder">
    <w:name w:val="contributors-holder"/>
    <w:basedOn w:val="Normal"/>
    <w:rsid w:val="00C04F9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C04F9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594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4D"/>
  </w:style>
  <w:style w:type="paragraph" w:styleId="Footer">
    <w:name w:val="footer"/>
    <w:basedOn w:val="Normal"/>
    <w:link w:val="FooterChar"/>
    <w:uiPriority w:val="99"/>
    <w:unhideWhenUsed/>
    <w:rsid w:val="00594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4D"/>
  </w:style>
  <w:style w:type="character" w:styleId="FollowedHyperlink">
    <w:name w:val="FollowedHyperlink"/>
    <w:basedOn w:val="DefaultParagraphFont"/>
    <w:uiPriority w:val="99"/>
    <w:semiHidden/>
    <w:unhideWhenUsed/>
    <w:rsid w:val="005A3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68243">
      <w:bodyDiv w:val="1"/>
      <w:marLeft w:val="0"/>
      <w:marRight w:val="0"/>
      <w:marTop w:val="0"/>
      <w:marBottom w:val="0"/>
      <w:divBdr>
        <w:top w:val="none" w:sz="0" w:space="0" w:color="auto"/>
        <w:left w:val="none" w:sz="0" w:space="0" w:color="auto"/>
        <w:bottom w:val="none" w:sz="0" w:space="0" w:color="auto"/>
        <w:right w:val="none" w:sz="0" w:space="0" w:color="auto"/>
      </w:divBdr>
      <w:divsChild>
        <w:div w:id="278486750">
          <w:marLeft w:val="0"/>
          <w:marRight w:val="0"/>
          <w:marTop w:val="0"/>
          <w:marBottom w:val="0"/>
          <w:divBdr>
            <w:top w:val="none" w:sz="0" w:space="0" w:color="auto"/>
            <w:left w:val="none" w:sz="0" w:space="0" w:color="auto"/>
            <w:bottom w:val="none" w:sz="0" w:space="0" w:color="auto"/>
            <w:right w:val="none" w:sz="0" w:space="0" w:color="auto"/>
          </w:divBdr>
          <w:divsChild>
            <w:div w:id="103690578">
              <w:marLeft w:val="0"/>
              <w:marRight w:val="0"/>
              <w:marTop w:val="0"/>
              <w:marBottom w:val="0"/>
              <w:divBdr>
                <w:top w:val="none" w:sz="0" w:space="0" w:color="auto"/>
                <w:left w:val="none" w:sz="0" w:space="0" w:color="auto"/>
                <w:bottom w:val="none" w:sz="0" w:space="0" w:color="auto"/>
                <w:right w:val="none" w:sz="0" w:space="0" w:color="auto"/>
              </w:divBdr>
            </w:div>
            <w:div w:id="853226930">
              <w:marLeft w:val="0"/>
              <w:marRight w:val="0"/>
              <w:marTop w:val="0"/>
              <w:marBottom w:val="0"/>
              <w:divBdr>
                <w:top w:val="none" w:sz="0" w:space="0" w:color="auto"/>
                <w:left w:val="none" w:sz="0" w:space="0" w:color="auto"/>
                <w:bottom w:val="none" w:sz="0" w:space="0" w:color="auto"/>
                <w:right w:val="none" w:sz="0" w:space="0" w:color="auto"/>
              </w:divBdr>
            </w:div>
          </w:divsChild>
        </w:div>
        <w:div w:id="266818784">
          <w:marLeft w:val="0"/>
          <w:marRight w:val="0"/>
          <w:marTop w:val="0"/>
          <w:marBottom w:val="0"/>
          <w:divBdr>
            <w:top w:val="none" w:sz="0" w:space="0" w:color="auto"/>
            <w:left w:val="none" w:sz="0" w:space="0" w:color="auto"/>
            <w:bottom w:val="none" w:sz="0" w:space="0" w:color="auto"/>
            <w:right w:val="none" w:sz="0" w:space="0" w:color="auto"/>
          </w:divBdr>
        </w:div>
        <w:div w:id="1055198625">
          <w:marLeft w:val="0"/>
          <w:marRight w:val="0"/>
          <w:marTop w:val="0"/>
          <w:marBottom w:val="0"/>
          <w:divBdr>
            <w:top w:val="none" w:sz="0" w:space="0" w:color="auto"/>
            <w:left w:val="none" w:sz="0" w:space="0" w:color="auto"/>
            <w:bottom w:val="none" w:sz="0" w:space="0" w:color="auto"/>
            <w:right w:val="none" w:sz="0" w:space="0" w:color="auto"/>
          </w:divBdr>
        </w:div>
        <w:div w:id="1102607951">
          <w:marLeft w:val="0"/>
          <w:marRight w:val="0"/>
          <w:marTop w:val="0"/>
          <w:marBottom w:val="0"/>
          <w:divBdr>
            <w:top w:val="none" w:sz="0" w:space="0" w:color="auto"/>
            <w:left w:val="none" w:sz="0" w:space="0" w:color="auto"/>
            <w:bottom w:val="none" w:sz="0" w:space="0" w:color="auto"/>
            <w:right w:val="none" w:sz="0" w:space="0" w:color="auto"/>
          </w:divBdr>
        </w:div>
        <w:div w:id="1842692817">
          <w:marLeft w:val="0"/>
          <w:marRight w:val="0"/>
          <w:marTop w:val="0"/>
          <w:marBottom w:val="0"/>
          <w:divBdr>
            <w:top w:val="none" w:sz="0" w:space="0" w:color="auto"/>
            <w:left w:val="none" w:sz="0" w:space="0" w:color="auto"/>
            <w:bottom w:val="none" w:sz="0" w:space="0" w:color="auto"/>
            <w:right w:val="none" w:sz="0" w:space="0" w:color="auto"/>
          </w:divBdr>
        </w:div>
        <w:div w:id="1490250148">
          <w:marLeft w:val="0"/>
          <w:marRight w:val="0"/>
          <w:marTop w:val="0"/>
          <w:marBottom w:val="0"/>
          <w:divBdr>
            <w:top w:val="none" w:sz="0" w:space="0" w:color="auto"/>
            <w:left w:val="none" w:sz="0" w:space="0" w:color="auto"/>
            <w:bottom w:val="none" w:sz="0" w:space="0" w:color="auto"/>
            <w:right w:val="none" w:sz="0" w:space="0" w:color="auto"/>
          </w:divBdr>
        </w:div>
        <w:div w:id="1664047532">
          <w:marLeft w:val="0"/>
          <w:marRight w:val="0"/>
          <w:marTop w:val="0"/>
          <w:marBottom w:val="0"/>
          <w:divBdr>
            <w:top w:val="none" w:sz="0" w:space="0" w:color="auto"/>
            <w:left w:val="none" w:sz="0" w:space="0" w:color="auto"/>
            <w:bottom w:val="none" w:sz="0" w:space="0" w:color="auto"/>
            <w:right w:val="none" w:sz="0" w:space="0" w:color="auto"/>
          </w:divBdr>
        </w:div>
        <w:div w:id="747339548">
          <w:marLeft w:val="0"/>
          <w:marRight w:val="0"/>
          <w:marTop w:val="0"/>
          <w:marBottom w:val="0"/>
          <w:divBdr>
            <w:top w:val="none" w:sz="0" w:space="0" w:color="auto"/>
            <w:left w:val="none" w:sz="0" w:space="0" w:color="auto"/>
            <w:bottom w:val="none" w:sz="0" w:space="0" w:color="auto"/>
            <w:right w:val="none" w:sz="0" w:space="0" w:color="auto"/>
          </w:divBdr>
        </w:div>
        <w:div w:id="286281777">
          <w:marLeft w:val="0"/>
          <w:marRight w:val="0"/>
          <w:marTop w:val="0"/>
          <w:marBottom w:val="0"/>
          <w:divBdr>
            <w:top w:val="none" w:sz="0" w:space="0" w:color="auto"/>
            <w:left w:val="none" w:sz="0" w:space="0" w:color="auto"/>
            <w:bottom w:val="none" w:sz="0" w:space="0" w:color="auto"/>
            <w:right w:val="none" w:sz="0" w:space="0" w:color="auto"/>
          </w:divBdr>
        </w:div>
        <w:div w:id="16004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openai/quotas-limits" TargetMode="External"/><Relationship Id="rId13" Type="http://schemas.openxmlformats.org/officeDocument/2006/relationships/hyperlink" Target="https://learn.microsoft.com/en-us/azure/ai-services/cognitive-services-support-options?context=/azure/ai-services/openai/context/contex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learn.microsoft.com/en-us/azure/ai-services/openai/quotas-limitsccccq" TargetMode="External"/><Relationship Id="rId12" Type="http://schemas.openxmlformats.org/officeDocument/2006/relationships/hyperlink" Target="https://learn.microsoft.com/en-us/azure/ai-services/openai/how-to/quot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ai-services/openai/concepts/models" TargetMode="External"/><Relationship Id="rId5" Type="http://schemas.openxmlformats.org/officeDocument/2006/relationships/footnotes" Target="footnotes.xml"/><Relationship Id="rId15" Type="http://schemas.openxmlformats.org/officeDocument/2006/relationships/hyperlink" Target="https://learn.microsoft.com/en-us/azure/ai-services/openai/concepts/models" TargetMode="External"/><Relationship Id="rId23" Type="http://schemas.openxmlformats.org/officeDocument/2006/relationships/theme" Target="theme/theme1.xml"/><Relationship Id="rId10" Type="http://schemas.openxmlformats.org/officeDocument/2006/relationships/hyperlink" Target="https://learn.microsoft.com/en-us/azure/ai-services/openai/quotas-limit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earn.microsoft.com/en-us/azure/ai-services/openai/quotas-limits" TargetMode="External"/><Relationship Id="rId14" Type="http://schemas.openxmlformats.org/officeDocument/2006/relationships/hyperlink" Target="https://learn.microsoft.com/en-us/azure/ai-services/openai/how-to/quo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Yue, Sophia (NonEmp)</cp:lastModifiedBy>
  <cp:revision>3</cp:revision>
  <dcterms:created xsi:type="dcterms:W3CDTF">2023-12-26T03:55:00Z</dcterms:created>
  <dcterms:modified xsi:type="dcterms:W3CDTF">2023-12-27T15:49:00Z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2023-12-27T15:49:49Z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13971d92-a9e0-4478-966a-5af387e7cb76</vt:lpwstr>
  </property>
  <property fmtid="{D5CDD505-2E9C-101B-9397-08002B2CF9AE}" pid="8" name="MSIP_Label_66f47cd8-41fa-4235-8c80-86b50baa48d7_ContentBits">
    <vt:lpwstr>0</vt:lpwstr>
  </property>
</Properties>
</file>