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720" w:firstLine="0"/>
        <w:rPr/>
      </w:pPr>
      <w:bookmarkStart w:colFirst="0" w:colLast="0" w:name="_o7hoiaysxk9a" w:id="0"/>
      <w:bookmarkEnd w:id="0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xAI. 2026. Grok (Grok 4.7 version) [Large language model]. Available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https://grok.com/c/dca004e0-90a2-4390-a46f-7f842adc404b?rid=e59ab960-7a60-4ef8-a543-78d28c09205a</w:t>
        </w:r>
      </w:hyperlink>
      <w:r w:rsidDel="00000000" w:rsidR="00000000" w:rsidRPr="00000000">
        <w:rPr>
          <w:rtl w:val="0"/>
        </w:rPr>
        <w:t xml:space="preserve">  [Accessed 30 September 2026].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rok.com/c/dca004e0-90a2-4390-a46f-7f842adc404b?rid=e59ab960-7a60-4ef8-a543-78d28c0920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