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AF25A" w14:textId="5D94D625" w:rsidR="003C35AB" w:rsidRPr="003A0E90" w:rsidRDefault="003C35AB" w:rsidP="003C35AB">
      <w:pPr>
        <w:pStyle w:val="Heading1"/>
        <w:spacing w:line="480" w:lineRule="auto"/>
        <w:ind w:left="432"/>
        <w:jc w:val="both"/>
        <w:rPr>
          <w:color w:val="auto"/>
          <w:sz w:val="24"/>
          <w:szCs w:val="24"/>
        </w:rPr>
      </w:pPr>
      <w:r w:rsidRPr="003A0E90">
        <w:rPr>
          <w:color w:val="auto"/>
          <w:sz w:val="24"/>
          <w:szCs w:val="24"/>
        </w:rPr>
        <w:t>Supplementary Figure</w:t>
      </w:r>
      <w:r w:rsidR="003A0E90">
        <w:rPr>
          <w:color w:val="auto"/>
          <w:sz w:val="24"/>
          <w:szCs w:val="24"/>
        </w:rPr>
        <w:t>s</w:t>
      </w:r>
    </w:p>
    <w:p w14:paraId="30501022" w14:textId="48C18921" w:rsidR="003C35AB" w:rsidRDefault="003C35AB" w:rsidP="003C35AB">
      <w:pPr>
        <w:spacing w:line="480" w:lineRule="auto"/>
        <w:jc w:val="both"/>
        <w:rPr>
          <w:b/>
          <w:bCs/>
        </w:rPr>
      </w:pPr>
      <w:r>
        <w:rPr>
          <w:b/>
          <w:bCs/>
        </w:rPr>
        <w:t>Figure S</w:t>
      </w:r>
      <w:r w:rsidRPr="007D2DEC">
        <w:rPr>
          <w:b/>
          <w:bCs/>
        </w:rPr>
        <w:t>1</w:t>
      </w:r>
      <w:r w:rsidR="00E31C6A">
        <w:rPr>
          <w:b/>
          <w:bCs/>
        </w:rPr>
        <w:t>.</w:t>
      </w:r>
      <w:r w:rsidRPr="007D2DEC">
        <w:rPr>
          <w:b/>
          <w:bCs/>
        </w:rPr>
        <w:t xml:space="preserve"> Association between GRSs and cardiometabolic traits after group </w:t>
      </w:r>
      <w:r w:rsidR="00807FE9">
        <w:rPr>
          <w:b/>
          <w:bCs/>
        </w:rPr>
        <w:t xml:space="preserve">with and without obesity </w:t>
      </w:r>
      <w:r w:rsidRPr="007D2DEC">
        <w:rPr>
          <w:b/>
          <w:bCs/>
        </w:rPr>
        <w:t>assignment</w:t>
      </w:r>
    </w:p>
    <w:p w14:paraId="20B36329" w14:textId="4B373C4A" w:rsidR="003A0E90" w:rsidRPr="007D2DEC" w:rsidRDefault="003A0E90" w:rsidP="003C35AB">
      <w:pPr>
        <w:spacing w:line="480" w:lineRule="auto"/>
        <w:jc w:val="both"/>
        <w:rPr>
          <w:b/>
          <w:bCs/>
        </w:rPr>
      </w:pPr>
      <w:r>
        <w:rPr>
          <w:b/>
          <w:bCs/>
          <w:noProof/>
        </w:rPr>
        <w:drawing>
          <wp:inline distT="0" distB="0" distL="0" distR="0" wp14:anchorId="2110CB1C" wp14:editId="1F2E5795">
            <wp:extent cx="5731510" cy="3820795"/>
            <wp:effectExtent l="0" t="0" r="2540" b="8255"/>
            <wp:docPr id="9983311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31128" name="Graphic 998331128"/>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820795"/>
                    </a:xfrm>
                    <a:prstGeom prst="rect">
                      <a:avLst/>
                    </a:prstGeom>
                  </pic:spPr>
                </pic:pic>
              </a:graphicData>
            </a:graphic>
          </wp:inline>
        </w:drawing>
      </w:r>
    </w:p>
    <w:p w14:paraId="0A87ACFE" w14:textId="77777777" w:rsidR="003C35AB" w:rsidRPr="007D2DEC" w:rsidRDefault="003C35AB" w:rsidP="003C35AB">
      <w:pPr>
        <w:spacing w:line="480" w:lineRule="auto"/>
        <w:jc w:val="both"/>
      </w:pPr>
      <w:r w:rsidRPr="007D2DEC">
        <w:t>Association between the IR-GRS</w:t>
      </w:r>
      <w:r w:rsidRPr="007D2DEC">
        <w:rPr>
          <w:vertAlign w:val="subscript"/>
        </w:rPr>
        <w:t>27</w:t>
      </w:r>
      <w:r w:rsidRPr="007D2DEC">
        <w:t>, IR-GRS</w:t>
      </w:r>
      <w:r w:rsidRPr="007D2DEC">
        <w:rPr>
          <w:vertAlign w:val="subscript"/>
        </w:rPr>
        <w:t>51</w:t>
      </w:r>
      <w:r w:rsidRPr="007D2DEC">
        <w:t>, and IR-GRS</w:t>
      </w:r>
      <w:r w:rsidRPr="007D2DEC">
        <w:rPr>
          <w:vertAlign w:val="subscript"/>
        </w:rPr>
        <w:t>8</w:t>
      </w:r>
      <w:r w:rsidRPr="007D2DEC">
        <w:t xml:space="preserve"> and cardiometabolic traits after groups assignment </w:t>
      </w:r>
      <w:r>
        <w:t xml:space="preserve">of </w:t>
      </w:r>
      <w:r w:rsidRPr="007D2DEC">
        <w:t>groups</w:t>
      </w:r>
      <w:r>
        <w:t xml:space="preserve"> with and without obesity</w:t>
      </w:r>
      <w:r w:rsidRPr="007D2DEC">
        <w:t>. Results shown side by side are for each GRS for obesity and population group. Beta coefficients (β) with 95% confidence intervals (CI) are presented, calculated using linear regression models. These models adjust for age, sex, BMI standard deviation scores (SDS) (not included in adiposity trait assessments), genotype batch, and four genetic principal components. NS represent non-significant for p-values above 0.05. Values of p &lt; 0.05 are considered nominally significant, while adjusted p-values (p-</w:t>
      </w:r>
      <w:proofErr w:type="spellStart"/>
      <w:r w:rsidRPr="007D2DEC">
        <w:t>adj</w:t>
      </w:r>
      <w:proofErr w:type="spellEnd"/>
      <w:r w:rsidRPr="007D2DEC">
        <w:t>) &lt; 0.05 after false discovery rate correction are highlighted as significant, with stricter significance thresholds at less than 0.01.</w:t>
      </w:r>
    </w:p>
    <w:p w14:paraId="12043394" w14:textId="77777777" w:rsidR="003C35AB" w:rsidRPr="007D2DEC" w:rsidRDefault="003C35AB" w:rsidP="003C35AB">
      <w:pPr>
        <w:spacing w:line="480" w:lineRule="auto"/>
        <w:jc w:val="both"/>
      </w:pPr>
    </w:p>
    <w:p w14:paraId="463B5F70" w14:textId="181FBC8F" w:rsidR="003C35AB" w:rsidRDefault="003C35AB" w:rsidP="003C35AB">
      <w:pPr>
        <w:spacing w:line="480" w:lineRule="auto"/>
        <w:jc w:val="both"/>
        <w:rPr>
          <w:b/>
          <w:bCs/>
        </w:rPr>
      </w:pPr>
      <w:r>
        <w:rPr>
          <w:b/>
          <w:bCs/>
        </w:rPr>
        <w:t>Figure S</w:t>
      </w:r>
      <w:r w:rsidRPr="007D2DEC">
        <w:rPr>
          <w:b/>
          <w:bCs/>
        </w:rPr>
        <w:t>2</w:t>
      </w:r>
      <w:r w:rsidR="00E31C6A">
        <w:rPr>
          <w:b/>
          <w:bCs/>
        </w:rPr>
        <w:t>.</w:t>
      </w:r>
      <w:r w:rsidRPr="007D2DEC">
        <w:rPr>
          <w:b/>
          <w:bCs/>
        </w:rPr>
        <w:t xml:space="preserve"> Association between GRSs and HOMA-IR, stratified by pubertal age</w:t>
      </w:r>
    </w:p>
    <w:p w14:paraId="3CB58AE6" w14:textId="26074117" w:rsidR="003A0E90" w:rsidRPr="007D2DEC" w:rsidRDefault="003A0E90" w:rsidP="003C35AB">
      <w:pPr>
        <w:spacing w:line="480" w:lineRule="auto"/>
        <w:jc w:val="both"/>
        <w:rPr>
          <w:b/>
          <w:bCs/>
        </w:rPr>
      </w:pPr>
      <w:r>
        <w:rPr>
          <w:b/>
          <w:bCs/>
          <w:noProof/>
        </w:rPr>
        <w:drawing>
          <wp:inline distT="0" distB="0" distL="0" distR="0" wp14:anchorId="7F58C467" wp14:editId="6C0E76E3">
            <wp:extent cx="5486400" cy="6400800"/>
            <wp:effectExtent l="0" t="0" r="0" b="0"/>
            <wp:docPr id="92900618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6186" name="Graphic 929006186"/>
                    <pic:cNvPicPr/>
                  </pic:nvPicPr>
                  <pic:blipFill>
                    <a:blip r:embed="rId8">
                      <a:extLst>
                        <a:ext uri="{96DAC541-7B7A-43D3-8B79-37D633B846F1}">
                          <asvg:svgBlip xmlns:asvg="http://schemas.microsoft.com/office/drawing/2016/SVG/main" r:embed="rId9"/>
                        </a:ext>
                      </a:extLst>
                    </a:blip>
                    <a:stretch>
                      <a:fillRect/>
                    </a:stretch>
                  </pic:blipFill>
                  <pic:spPr>
                    <a:xfrm>
                      <a:off x="0" y="0"/>
                      <a:ext cx="5486400" cy="6400800"/>
                    </a:xfrm>
                    <a:prstGeom prst="rect">
                      <a:avLst/>
                    </a:prstGeom>
                  </pic:spPr>
                </pic:pic>
              </a:graphicData>
            </a:graphic>
          </wp:inline>
        </w:drawing>
      </w:r>
    </w:p>
    <w:p w14:paraId="6EC92363" w14:textId="77777777" w:rsidR="003C35AB" w:rsidRPr="007D2DEC" w:rsidRDefault="003C35AB" w:rsidP="003C35AB">
      <w:pPr>
        <w:spacing w:line="480" w:lineRule="auto"/>
        <w:jc w:val="both"/>
      </w:pPr>
      <w:r w:rsidRPr="007D2DEC">
        <w:t>Association between IR-GRS</w:t>
      </w:r>
      <w:r w:rsidRPr="007D2DEC">
        <w:rPr>
          <w:vertAlign w:val="subscript"/>
        </w:rPr>
        <w:t>27</w:t>
      </w:r>
      <w:r w:rsidRPr="007D2DEC">
        <w:t>, IR-GRS</w:t>
      </w:r>
      <w:r w:rsidRPr="007D2DEC">
        <w:rPr>
          <w:vertAlign w:val="subscript"/>
        </w:rPr>
        <w:t>51</w:t>
      </w:r>
      <w:r w:rsidRPr="007D2DEC">
        <w:t xml:space="preserve"> and IR-GRS</w:t>
      </w:r>
      <w:r w:rsidRPr="007D2DEC">
        <w:rPr>
          <w:vertAlign w:val="subscript"/>
        </w:rPr>
        <w:t xml:space="preserve">8 </w:t>
      </w:r>
      <w:r w:rsidRPr="007D2DEC">
        <w:t>and HOMA-IR as a measure of IR with analysis stratified by pubertal age. Beta coefficients (β) with 95% confidence intervals (CI) are presented, calculated using linear regression models. These models adjust for age, sex, BMI standard deviation scores (SDS), genotype batch, and four genetic principal components. The R</w:t>
      </w:r>
      <w:r w:rsidRPr="007D2DEC">
        <w:rPr>
          <w:vertAlign w:val="superscript"/>
        </w:rPr>
        <w:t>2</w:t>
      </w:r>
      <w:r w:rsidRPr="007D2DEC">
        <w:t xml:space="preserve"> </w:t>
      </w:r>
      <w:r w:rsidRPr="007D2DEC">
        <w:lastRenderedPageBreak/>
        <w:t>represents the variance explained by the GRS. It is calculated as the adjusted R</w:t>
      </w:r>
      <w:r w:rsidRPr="007D2DEC">
        <w:rPr>
          <w:vertAlign w:val="superscript"/>
        </w:rPr>
        <w:t>2</w:t>
      </w:r>
      <w:r w:rsidRPr="007D2DEC">
        <w:t xml:space="preserve"> for the model including GRS and covariates minus the adjusted R</w:t>
      </w:r>
      <w:r w:rsidRPr="007D2DEC">
        <w:rPr>
          <w:vertAlign w:val="superscript"/>
        </w:rPr>
        <w:t>2</w:t>
      </w:r>
      <w:r w:rsidRPr="007D2DEC">
        <w:t xml:space="preserve"> for the model including only the covariates.</w:t>
      </w:r>
    </w:p>
    <w:p w14:paraId="355F9170" w14:textId="77777777" w:rsidR="003C35AB" w:rsidRPr="007D2DEC" w:rsidRDefault="003C35AB" w:rsidP="003C35AB">
      <w:pPr>
        <w:spacing w:line="480" w:lineRule="auto"/>
        <w:jc w:val="both"/>
      </w:pPr>
    </w:p>
    <w:p w14:paraId="2E5B54EC" w14:textId="57DC28DA" w:rsidR="003C35AB" w:rsidRDefault="003C35AB" w:rsidP="003C35AB">
      <w:pPr>
        <w:spacing w:line="480" w:lineRule="auto"/>
        <w:jc w:val="both"/>
        <w:rPr>
          <w:b/>
          <w:bCs/>
        </w:rPr>
      </w:pPr>
      <w:r>
        <w:rPr>
          <w:b/>
          <w:bCs/>
        </w:rPr>
        <w:t>Figure S</w:t>
      </w:r>
      <w:r w:rsidRPr="007D2DEC">
        <w:rPr>
          <w:b/>
          <w:bCs/>
        </w:rPr>
        <w:t xml:space="preserve">3. Interaction analysis of GRSs with cardiometabolic traits across </w:t>
      </w:r>
      <w:r w:rsidR="00EB7BC3">
        <w:rPr>
          <w:b/>
          <w:bCs/>
        </w:rPr>
        <w:t>groups with and without obesity</w:t>
      </w:r>
    </w:p>
    <w:p w14:paraId="25D306F9" w14:textId="1FC7F08F" w:rsidR="003A0E90" w:rsidRPr="007D2DEC" w:rsidRDefault="003A0E90" w:rsidP="003C35AB">
      <w:pPr>
        <w:spacing w:line="480" w:lineRule="auto"/>
        <w:jc w:val="both"/>
        <w:rPr>
          <w:b/>
          <w:bCs/>
        </w:rPr>
      </w:pPr>
      <w:r>
        <w:rPr>
          <w:b/>
          <w:bCs/>
          <w:noProof/>
        </w:rPr>
        <w:drawing>
          <wp:inline distT="0" distB="0" distL="0" distR="0" wp14:anchorId="54645851" wp14:editId="60EB09A2">
            <wp:extent cx="5731510" cy="3820795"/>
            <wp:effectExtent l="0" t="0" r="2540" b="8255"/>
            <wp:docPr id="2316761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6178" name="Graphic 231676178"/>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820795"/>
                    </a:xfrm>
                    <a:prstGeom prst="rect">
                      <a:avLst/>
                    </a:prstGeom>
                  </pic:spPr>
                </pic:pic>
              </a:graphicData>
            </a:graphic>
          </wp:inline>
        </w:drawing>
      </w:r>
    </w:p>
    <w:p w14:paraId="00D5B668" w14:textId="77777777" w:rsidR="003C35AB" w:rsidRPr="007D2DEC" w:rsidRDefault="003C35AB" w:rsidP="003C35AB">
      <w:pPr>
        <w:spacing w:line="480" w:lineRule="auto"/>
        <w:jc w:val="both"/>
      </w:pPr>
      <w:r w:rsidRPr="007D2DEC">
        <w:t xml:space="preserve">Interaction analysis between </w:t>
      </w:r>
      <w:r>
        <w:t>group with obesity and without obesity</w:t>
      </w:r>
      <w:r w:rsidRPr="007D2DEC">
        <w:t xml:space="preserve"> for association between IR-GRS</w:t>
      </w:r>
      <w:r w:rsidRPr="007D2DEC">
        <w:rPr>
          <w:vertAlign w:val="subscript"/>
        </w:rPr>
        <w:t>27</w:t>
      </w:r>
      <w:r w:rsidRPr="007D2DEC">
        <w:t>, IR-GRS</w:t>
      </w:r>
      <w:r w:rsidRPr="007D2DEC">
        <w:rPr>
          <w:vertAlign w:val="subscript"/>
        </w:rPr>
        <w:t>51</w:t>
      </w:r>
      <w:r w:rsidRPr="007D2DEC">
        <w:t>, and IR-GRS</w:t>
      </w:r>
      <w:r w:rsidRPr="007D2DEC">
        <w:rPr>
          <w:vertAlign w:val="subscript"/>
        </w:rPr>
        <w:t>8</w:t>
      </w:r>
      <w:r w:rsidRPr="007D2DEC">
        <w:t xml:space="preserve"> and cardiometabolic traits after groups assignment. Results shown side by side are for each GRS for obesity and population group for interaction effects. Beta coefficients (β) with 95% confidence intervals (CI) are presented, calculated using linear regression models. These models adjust for age, sex, BMI standard deviation scores (SDS) (not included in adiposity trait assessments), genotype batch, and four genetic principal components. NS represent non-significant for p-values above 0.05. Values of p &lt; 0.05 are considered nominally </w:t>
      </w:r>
      <w:r w:rsidRPr="007D2DEC">
        <w:lastRenderedPageBreak/>
        <w:t>significant, while adjusted p-values (p-</w:t>
      </w:r>
      <w:proofErr w:type="spellStart"/>
      <w:r w:rsidRPr="007D2DEC">
        <w:t>adj</w:t>
      </w:r>
      <w:proofErr w:type="spellEnd"/>
      <w:r w:rsidRPr="007D2DEC">
        <w:t>) &lt; 0.05 after false discovery rate correction are highlighted as significant, with stricter significance thresholds at less than 0.01.</w:t>
      </w:r>
    </w:p>
    <w:p w14:paraId="21C37100" w14:textId="77777777" w:rsidR="003C35AB" w:rsidRPr="007D2DEC" w:rsidRDefault="003C35AB" w:rsidP="003C35AB">
      <w:pPr>
        <w:spacing w:line="480" w:lineRule="auto"/>
        <w:jc w:val="both"/>
      </w:pPr>
    </w:p>
    <w:p w14:paraId="61D2CFD6" w14:textId="1D9D5199" w:rsidR="003C35AB" w:rsidRDefault="003C35AB" w:rsidP="003C35AB">
      <w:pPr>
        <w:spacing w:line="480" w:lineRule="auto"/>
        <w:jc w:val="both"/>
        <w:rPr>
          <w:b/>
          <w:bCs/>
        </w:rPr>
      </w:pPr>
      <w:r>
        <w:rPr>
          <w:b/>
          <w:bCs/>
        </w:rPr>
        <w:t>Figure S</w:t>
      </w:r>
      <w:r w:rsidRPr="007D2DEC">
        <w:rPr>
          <w:b/>
          <w:bCs/>
        </w:rPr>
        <w:t>4. Association of single variants with cardiometabolic traits in separate groups</w:t>
      </w:r>
    </w:p>
    <w:p w14:paraId="48593981" w14:textId="026AEC35" w:rsidR="003A0E90" w:rsidRPr="007D2DEC" w:rsidRDefault="003A0E90" w:rsidP="003C35AB">
      <w:pPr>
        <w:spacing w:line="480" w:lineRule="auto"/>
        <w:jc w:val="both"/>
        <w:rPr>
          <w:b/>
          <w:bCs/>
        </w:rPr>
      </w:pPr>
      <w:r>
        <w:rPr>
          <w:b/>
          <w:bCs/>
          <w:noProof/>
        </w:rPr>
        <w:drawing>
          <wp:inline distT="0" distB="0" distL="0" distR="0" wp14:anchorId="5AF46693" wp14:editId="751ADF52">
            <wp:extent cx="5731510" cy="6686550"/>
            <wp:effectExtent l="0" t="0" r="2540" b="0"/>
            <wp:docPr id="104117717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77178" name="Graphic 1041177178"/>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6686550"/>
                    </a:xfrm>
                    <a:prstGeom prst="rect">
                      <a:avLst/>
                    </a:prstGeom>
                  </pic:spPr>
                </pic:pic>
              </a:graphicData>
            </a:graphic>
          </wp:inline>
        </w:drawing>
      </w:r>
    </w:p>
    <w:p w14:paraId="6F7C2AFB" w14:textId="77777777" w:rsidR="003C35AB" w:rsidRPr="007D2DEC" w:rsidRDefault="003C35AB" w:rsidP="003C35AB">
      <w:pPr>
        <w:spacing w:line="480" w:lineRule="auto"/>
        <w:jc w:val="both"/>
      </w:pPr>
      <w:r w:rsidRPr="007D2DEC">
        <w:lastRenderedPageBreak/>
        <w:t>The association between single variants from each IR</w:t>
      </w:r>
      <w:r>
        <w:t>-</w:t>
      </w:r>
      <w:r w:rsidRPr="007D2DEC">
        <w:t xml:space="preserve">GRS and cardiometabolic traits </w:t>
      </w:r>
      <w:r>
        <w:t>in groups with and without obesity</w:t>
      </w:r>
      <w:r w:rsidRPr="007D2DEC">
        <w:t xml:space="preserve"> separately. The analysis is adjusted for age, sex, genotype batch, four genetic principal components. The colour coding represents the direction and magnitude of the effect size (β) for associations of alleles. Specifically, red denotes positive associations, indicating an increase in trait, while blue signifies negative associations. Statistical significance is marked by an asterisk (*) for a p-value less than 0.05, and a hash (#) for a false discovery rate adjusted p-value </w:t>
      </w:r>
      <w:r w:rsidRPr="007D2DEC">
        <w:rPr>
          <w:sz w:val="24"/>
          <w:szCs w:val="24"/>
        </w:rPr>
        <w:t>p</w:t>
      </w:r>
      <w:r w:rsidRPr="007D2DEC">
        <w:rPr>
          <w:sz w:val="24"/>
          <w:szCs w:val="24"/>
          <w:vertAlign w:val="subscript"/>
        </w:rPr>
        <w:t>adj</w:t>
      </w:r>
      <w:r w:rsidRPr="007D2DEC">
        <w:t xml:space="preserve"> less than 0.05.</w:t>
      </w:r>
    </w:p>
    <w:p w14:paraId="0EC6B03F" w14:textId="77777777" w:rsidR="00DD54E2" w:rsidRDefault="00DD54E2"/>
    <w:sectPr w:rsidR="00DD54E2" w:rsidSect="003C35AB">
      <w:footerReference w:type="default" r:id="rId1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F9981" w14:textId="77777777" w:rsidR="003A0E90" w:rsidRDefault="003A0E90">
      <w:pPr>
        <w:spacing w:after="0" w:line="240" w:lineRule="auto"/>
      </w:pPr>
      <w:r>
        <w:separator/>
      </w:r>
    </w:p>
  </w:endnote>
  <w:endnote w:type="continuationSeparator" w:id="0">
    <w:p w14:paraId="5D6810E1" w14:textId="77777777" w:rsidR="003A0E90" w:rsidRDefault="003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133140"/>
      <w:docPartObj>
        <w:docPartGallery w:val="Page Numbers (Bottom of Page)"/>
        <w:docPartUnique/>
      </w:docPartObj>
    </w:sdtPr>
    <w:sdtEndPr>
      <w:rPr>
        <w:noProof/>
      </w:rPr>
    </w:sdtEndPr>
    <w:sdtContent>
      <w:p w14:paraId="0989C670" w14:textId="77777777" w:rsidR="003B203F" w:rsidRDefault="003B20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8E75DB" w14:textId="77777777" w:rsidR="003B203F" w:rsidRDefault="003B2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20FD33" w14:textId="77777777" w:rsidR="003A0E90" w:rsidRDefault="003A0E90">
      <w:pPr>
        <w:spacing w:after="0" w:line="240" w:lineRule="auto"/>
      </w:pPr>
      <w:r>
        <w:separator/>
      </w:r>
    </w:p>
  </w:footnote>
  <w:footnote w:type="continuationSeparator" w:id="0">
    <w:p w14:paraId="33C2AF9C" w14:textId="77777777" w:rsidR="003A0E90" w:rsidRDefault="003A0E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79A"/>
    <w:rsid w:val="00013AC1"/>
    <w:rsid w:val="000B47EF"/>
    <w:rsid w:val="0025023A"/>
    <w:rsid w:val="0036452D"/>
    <w:rsid w:val="00396E07"/>
    <w:rsid w:val="003A0E90"/>
    <w:rsid w:val="003B203F"/>
    <w:rsid w:val="003C35AB"/>
    <w:rsid w:val="003D723F"/>
    <w:rsid w:val="0051143E"/>
    <w:rsid w:val="0063579A"/>
    <w:rsid w:val="007D5717"/>
    <w:rsid w:val="00807FE9"/>
    <w:rsid w:val="00820BC2"/>
    <w:rsid w:val="00C04524"/>
    <w:rsid w:val="00DD54E2"/>
    <w:rsid w:val="00E31C6A"/>
    <w:rsid w:val="00EB7BC3"/>
    <w:rsid w:val="00F07912"/>
    <w:rsid w:val="00FE2E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A713"/>
  <w15:chartTrackingRefBased/>
  <w15:docId w15:val="{597415F1-02E1-4F1C-BE72-900F8F48F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5AB"/>
    <w:pPr>
      <w:spacing w:line="259" w:lineRule="auto"/>
    </w:pPr>
    <w:rPr>
      <w:sz w:val="22"/>
      <w:szCs w:val="22"/>
    </w:rPr>
  </w:style>
  <w:style w:type="paragraph" w:styleId="Heading1">
    <w:name w:val="heading 1"/>
    <w:basedOn w:val="Normal"/>
    <w:next w:val="Normal"/>
    <w:link w:val="Heading1Char"/>
    <w:uiPriority w:val="9"/>
    <w:qFormat/>
    <w:rsid w:val="006357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57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57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57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57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57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57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57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57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7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57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57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57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57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57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57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57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579A"/>
    <w:rPr>
      <w:rFonts w:eastAsiaTheme="majorEastAsia" w:cstheme="majorBidi"/>
      <w:color w:val="272727" w:themeColor="text1" w:themeTint="D8"/>
    </w:rPr>
  </w:style>
  <w:style w:type="paragraph" w:styleId="Title">
    <w:name w:val="Title"/>
    <w:basedOn w:val="Normal"/>
    <w:next w:val="Normal"/>
    <w:link w:val="TitleChar"/>
    <w:uiPriority w:val="10"/>
    <w:qFormat/>
    <w:rsid w:val="00635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57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57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57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579A"/>
    <w:pPr>
      <w:spacing w:before="160"/>
      <w:jc w:val="center"/>
    </w:pPr>
    <w:rPr>
      <w:i/>
      <w:iCs/>
      <w:color w:val="404040" w:themeColor="text1" w:themeTint="BF"/>
    </w:rPr>
  </w:style>
  <w:style w:type="character" w:customStyle="1" w:styleId="QuoteChar">
    <w:name w:val="Quote Char"/>
    <w:basedOn w:val="DefaultParagraphFont"/>
    <w:link w:val="Quote"/>
    <w:uiPriority w:val="29"/>
    <w:rsid w:val="0063579A"/>
    <w:rPr>
      <w:i/>
      <w:iCs/>
      <w:color w:val="404040" w:themeColor="text1" w:themeTint="BF"/>
    </w:rPr>
  </w:style>
  <w:style w:type="paragraph" w:styleId="ListParagraph">
    <w:name w:val="List Paragraph"/>
    <w:basedOn w:val="Normal"/>
    <w:uiPriority w:val="34"/>
    <w:qFormat/>
    <w:rsid w:val="0063579A"/>
    <w:pPr>
      <w:ind w:left="720"/>
      <w:contextualSpacing/>
    </w:pPr>
  </w:style>
  <w:style w:type="character" w:styleId="IntenseEmphasis">
    <w:name w:val="Intense Emphasis"/>
    <w:basedOn w:val="DefaultParagraphFont"/>
    <w:uiPriority w:val="21"/>
    <w:qFormat/>
    <w:rsid w:val="0063579A"/>
    <w:rPr>
      <w:i/>
      <w:iCs/>
      <w:color w:val="0F4761" w:themeColor="accent1" w:themeShade="BF"/>
    </w:rPr>
  </w:style>
  <w:style w:type="paragraph" w:styleId="IntenseQuote">
    <w:name w:val="Intense Quote"/>
    <w:basedOn w:val="Normal"/>
    <w:next w:val="Normal"/>
    <w:link w:val="IntenseQuoteChar"/>
    <w:uiPriority w:val="30"/>
    <w:qFormat/>
    <w:rsid w:val="00635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579A"/>
    <w:rPr>
      <w:i/>
      <w:iCs/>
      <w:color w:val="0F4761" w:themeColor="accent1" w:themeShade="BF"/>
    </w:rPr>
  </w:style>
  <w:style w:type="character" w:styleId="IntenseReference">
    <w:name w:val="Intense Reference"/>
    <w:basedOn w:val="DefaultParagraphFont"/>
    <w:uiPriority w:val="32"/>
    <w:qFormat/>
    <w:rsid w:val="0063579A"/>
    <w:rPr>
      <w:b/>
      <w:bCs/>
      <w:smallCaps/>
      <w:color w:val="0F4761" w:themeColor="accent1" w:themeShade="BF"/>
      <w:spacing w:val="5"/>
    </w:rPr>
  </w:style>
  <w:style w:type="paragraph" w:styleId="Footer">
    <w:name w:val="footer"/>
    <w:basedOn w:val="Normal"/>
    <w:link w:val="FooterChar"/>
    <w:uiPriority w:val="99"/>
    <w:unhideWhenUsed/>
    <w:rsid w:val="003C3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5AB"/>
    <w:rPr>
      <w:sz w:val="22"/>
      <w:szCs w:val="22"/>
    </w:rPr>
  </w:style>
  <w:style w:type="character" w:styleId="LineNumber">
    <w:name w:val="line number"/>
    <w:basedOn w:val="DefaultParagraphFont"/>
    <w:uiPriority w:val="99"/>
    <w:semiHidden/>
    <w:unhideWhenUsed/>
    <w:rsid w:val="003C3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463</Words>
  <Characters>2765</Characters>
  <Application>Microsoft Office Word</Application>
  <DocSecurity>0</DocSecurity>
  <Lines>41</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Suleman</dc:creator>
  <cp:keywords/>
  <dc:description/>
  <cp:lastModifiedBy>Sufyan Suleman</cp:lastModifiedBy>
  <cp:revision>7</cp:revision>
  <dcterms:created xsi:type="dcterms:W3CDTF">2024-07-03T13:04:00Z</dcterms:created>
  <dcterms:modified xsi:type="dcterms:W3CDTF">2024-09-19T09:31:00Z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