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5B" w:rsidRPr="00062ED1" w:rsidRDefault="002B5F22" w:rsidP="00062E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Pontos LCD hőmérő MSP430-al</w:t>
      </w:r>
    </w:p>
    <w:p w:rsidR="00062ED1" w:rsidRDefault="00062ED1" w:rsidP="00062ED1">
      <w:pPr>
        <w:jc w:val="center"/>
      </w:pPr>
      <w:r>
        <w:t>Gömöri Zoltán</w:t>
      </w:r>
      <w:r>
        <w:br/>
      </w:r>
      <w:hyperlink r:id="rId6" w:history="1">
        <w:r w:rsidR="00B536F6" w:rsidRPr="00A812BF">
          <w:rPr>
            <w:rStyle w:val="Hyperlink"/>
          </w:rPr>
          <w:t>http://it-pro-hu.blogspot.com</w:t>
        </w:r>
      </w:hyperlink>
    </w:p>
    <w:p w:rsidR="00062ED1" w:rsidRPr="00062ED1" w:rsidRDefault="00062ED1" w:rsidP="00062ED1">
      <w:pPr>
        <w:jc w:val="center"/>
      </w:pPr>
      <w:bookmarkStart w:id="0" w:name="_GoBack"/>
      <w:bookmarkEnd w:id="0"/>
    </w:p>
    <w:p w:rsidR="002B5F22" w:rsidRDefault="002B5F22">
      <w:r>
        <w:t xml:space="preserve">Ennek a cikknek a célja egy házi használatra alkalmas </w:t>
      </w:r>
      <w:r w:rsidR="00A226A1">
        <w:t xml:space="preserve">pontos (+-0,25 °C) </w:t>
      </w:r>
      <w:r>
        <w:t>digitális hőmérő előállítása.</w:t>
      </w:r>
    </w:p>
    <w:p w:rsidR="002B5F22" w:rsidRDefault="002B5F22">
      <w:r>
        <w:t>A szerkezet tervezésénél a következő szempontokat vettem figyelembe:</w:t>
      </w:r>
    </w:p>
    <w:p w:rsidR="002B5F22" w:rsidRDefault="002B5F22" w:rsidP="002B5F22">
      <w:pPr>
        <w:pStyle w:val="ListParagraph"/>
        <w:numPr>
          <w:ilvl w:val="0"/>
          <w:numId w:val="2"/>
        </w:numPr>
      </w:pPr>
      <w:r>
        <w:t>Mikrokontroller alapú szerkezet legyen. Olyan eszközt akartam, ami később szoftverből akár módosítható, és esetleg utólagosan a hardver is bővíthető</w:t>
      </w:r>
    </w:p>
    <w:p w:rsidR="002B5F22" w:rsidRDefault="002B5F22" w:rsidP="002B5F22">
      <w:pPr>
        <w:pStyle w:val="ListParagraph"/>
        <w:numPr>
          <w:ilvl w:val="0"/>
          <w:numId w:val="2"/>
        </w:numPr>
      </w:pPr>
      <w:r>
        <w:t>Viszonylag olcsó legyen az előállítása. Itt a viszonylagoson van a hangsúly. Nem tudok, és nem is akarok a távolkeletről származó a speciális céláramkört használó (szilicium tok nélkül a pnelra ragasztva, bekötve és beöntve) hőmérőkkel versenyre kellni</w:t>
      </w:r>
    </w:p>
    <w:p w:rsidR="002B5F22" w:rsidRDefault="002B5F22" w:rsidP="002B5F22">
      <w:pPr>
        <w:pStyle w:val="ListParagraph"/>
        <w:numPr>
          <w:ilvl w:val="0"/>
          <w:numId w:val="2"/>
        </w:numPr>
      </w:pPr>
      <w:r>
        <w:t>Kalibráció nélkül is pontos legyen. Nincs igazán mihez kalibrálnom egy hőmérőt. A választott digitális hőszenzor a szobahőmérséklet körüli tartományban +- 0,25 C maximális hibával dolgozik.</w:t>
      </w:r>
    </w:p>
    <w:p w:rsidR="002B5F22" w:rsidRDefault="001C0558" w:rsidP="002B5F22">
      <w:pPr>
        <w:pStyle w:val="ListParagraph"/>
        <w:numPr>
          <w:ilvl w:val="0"/>
          <w:numId w:val="2"/>
        </w:numPr>
      </w:pPr>
      <w:r>
        <w:t>Elemes tápellátással rendelkezzen. Ezért lehetőség szerint a szoftverben minden eszköz alacsonyteljesítményű üzemmódjait megpróbáltam maximálisan kihasználni</w:t>
      </w:r>
    </w:p>
    <w:p w:rsidR="001C0558" w:rsidRDefault="001C0558" w:rsidP="002B5F22">
      <w:pPr>
        <w:pStyle w:val="ListParagraph"/>
        <w:numPr>
          <w:ilvl w:val="0"/>
          <w:numId w:val="2"/>
        </w:numPr>
      </w:pPr>
      <w:r>
        <w:t xml:space="preserve">Különösebb mechanikai reszelgetés nélkül dobozba szerelhető legyen. </w:t>
      </w:r>
    </w:p>
    <w:p w:rsidR="001C0558" w:rsidRDefault="001C0558">
      <w:r>
        <w:t>Az elkészült eszközt beltéri használatra találtam ki. Ebből adódóan az alkatrészek egy része nem működő képes negatív hőmérsékleti tartományban való működésre és a szoftver sincs felkészítve ere.</w:t>
      </w:r>
    </w:p>
    <w:p w:rsidR="00A2535A" w:rsidRPr="00062ED1" w:rsidRDefault="00A2535A">
      <w:pPr>
        <w:rPr>
          <w:b/>
        </w:rPr>
      </w:pPr>
      <w:r w:rsidRPr="00062ED1">
        <w:rPr>
          <w:b/>
        </w:rPr>
        <w:t>Felépítés</w:t>
      </w:r>
    </w:p>
    <w:p w:rsidR="001C0558" w:rsidRDefault="001C0558">
      <w:r>
        <w:t>A hőmérő alapvetően négy részből áll:</w:t>
      </w:r>
    </w:p>
    <w:p w:rsidR="001C0558" w:rsidRDefault="001C0558" w:rsidP="001C0558">
      <w:pPr>
        <w:pStyle w:val="ListParagraph"/>
        <w:numPr>
          <w:ilvl w:val="0"/>
          <w:numId w:val="2"/>
        </w:numPr>
      </w:pPr>
      <w:r>
        <w:t>Egy I2C buszos nagy pontosságú digitális hőmérő. Itt a</w:t>
      </w:r>
      <w:r w:rsidR="001C342F">
        <w:t xml:space="preserve"> választásom a Microchip MCP9808-as eszközre esett.</w:t>
      </w:r>
    </w:p>
    <w:p w:rsidR="001C342F" w:rsidRDefault="001C342F" w:rsidP="001C0558">
      <w:pPr>
        <w:pStyle w:val="ListParagraph"/>
        <w:numPr>
          <w:ilvl w:val="0"/>
          <w:numId w:val="2"/>
        </w:numPr>
      </w:pPr>
      <w:r>
        <w:t>Egy 3,5 digitest 7 szegmenses LCD kijelző, ami a hőmérséklet mellett a telep állapotáról is képes tájékoztatást nyújtani</w:t>
      </w:r>
    </w:p>
    <w:p w:rsidR="001C342F" w:rsidRDefault="001C342F" w:rsidP="001C0558">
      <w:pPr>
        <w:pStyle w:val="ListParagraph"/>
        <w:numPr>
          <w:ilvl w:val="0"/>
          <w:numId w:val="2"/>
        </w:numPr>
      </w:pPr>
      <w:r>
        <w:t>Egy I2C buszos LCD meghajtó. Ez az NXP PCF8576C tokja ami képes az előbbi statikus meghajtású (nem multiplexelt, minden szegmens külön láb) LCD-t kezelni.</w:t>
      </w:r>
    </w:p>
    <w:p w:rsidR="001C342F" w:rsidRDefault="001C342F" w:rsidP="001C342F">
      <w:pPr>
        <w:pStyle w:val="ListParagraph"/>
        <w:numPr>
          <w:ilvl w:val="0"/>
          <w:numId w:val="2"/>
        </w:numPr>
      </w:pPr>
      <w:r>
        <w:t xml:space="preserve">Egy a </w:t>
      </w:r>
      <w:r w:rsidR="00A2535A">
        <w:t>Texas Instruments MSP430-as szériába tartozó mikrokontroller (MSP430G22</w:t>
      </w:r>
      <w:r>
        <w:t>30</w:t>
      </w:r>
      <w:r w:rsidR="00A2535A">
        <w:t xml:space="preserve">). </w:t>
      </w:r>
      <w:r>
        <w:t>Ami az adott széria legkissebb lábszámú eszköze.</w:t>
      </w:r>
    </w:p>
    <w:p w:rsidR="001C342F" w:rsidRDefault="001C342F" w:rsidP="001C342F">
      <w:r>
        <w:t>A szerkezet a fentiek alapján nagyon egyszerű felépítésű. Mind a hőmérő, mind a kijelző meghajtó az mikrokontroller I2C csatlakozására van kötve, minden egyéb nélkül.</w:t>
      </w:r>
    </w:p>
    <w:p w:rsidR="006578F5" w:rsidRPr="00062ED1" w:rsidRDefault="00D839EC">
      <w:pPr>
        <w:rPr>
          <w:rFonts w:ascii="Calibri" w:eastAsia="Times New Roman" w:hAnsi="Calibri"/>
          <w:b/>
        </w:rPr>
      </w:pPr>
      <w:r w:rsidRPr="00062ED1">
        <w:rPr>
          <w:rFonts w:ascii="Calibri" w:eastAsia="Times New Roman" w:hAnsi="Calibri"/>
          <w:b/>
        </w:rPr>
        <w:t>Alkatrészlista</w:t>
      </w:r>
    </w:p>
    <w:p w:rsidR="002C4306" w:rsidRDefault="006578F5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Az 1-es ábrán lévő alkatrész listában szereplő árak tájékoztató jellegűek. A kalkuláció úgy készült, hogy a beszállítók webshop árait 10db </w:t>
      </w:r>
      <w:r w:rsidR="001C342F">
        <w:rPr>
          <w:rFonts w:ascii="Calibri" w:eastAsia="Times New Roman" w:hAnsi="Calibri"/>
        </w:rPr>
        <w:t>hőmérő</w:t>
      </w:r>
      <w:r>
        <w:rPr>
          <w:rFonts w:ascii="Calibri" w:eastAsia="Times New Roman" w:hAnsi="Calibri"/>
        </w:rPr>
        <w:t>höz szükséges alkatrészmennyiségből osztottam vissza. Ettől az 1db-hoz szükséges árak, valamint a bolt árai eltérnek.</w:t>
      </w:r>
      <w:r w:rsidR="00A56386">
        <w:rPr>
          <w:rFonts w:ascii="Calibri" w:eastAsia="Times New Roman" w:hAnsi="Calibri"/>
        </w:rPr>
        <w:t xml:space="preserve"> </w:t>
      </w:r>
      <w:r w:rsidR="00D839EC">
        <w:rPr>
          <w:rFonts w:ascii="Calibri" w:eastAsia="Times New Roman" w:hAnsi="Calibri"/>
        </w:rPr>
        <w:br/>
      </w:r>
      <w:r w:rsidR="00D839EC">
        <w:rPr>
          <w:rFonts w:ascii="Calibri" w:eastAsia="Times New Roman" w:hAnsi="Calibri"/>
        </w:rPr>
        <w:lastRenderedPageBreak/>
        <w:br/>
      </w:r>
      <w:r w:rsidR="00D839EC" w:rsidRPr="00062ED1">
        <w:rPr>
          <w:rFonts w:ascii="Calibri" w:eastAsia="Times New Roman" w:hAnsi="Calibri"/>
          <w:b/>
        </w:rPr>
        <w:t>Csatlakozók</w:t>
      </w:r>
    </w:p>
    <w:p w:rsidR="001C342F" w:rsidRDefault="001C342F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A hőmérő paneljét a normális működéshez kizárólag a telephez kell kötni. A telepen túli csatlakozók kizárólag a programozást és az esetleges további bővítés lehetőségét </w:t>
      </w:r>
      <w:r w:rsidR="00405270">
        <w:rPr>
          <w:rFonts w:ascii="Calibri" w:eastAsia="Times New Roman" w:hAnsi="Calibri"/>
        </w:rPr>
        <w:t>kínálják.</w:t>
      </w:r>
    </w:p>
    <w:p w:rsidR="002C4306" w:rsidRDefault="002C430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J1 (JTAG): Programozó interface.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276"/>
      </w:tblGrid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TEST</w:t>
            </w:r>
          </w:p>
        </w:tc>
      </w:tr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RST</w:t>
            </w:r>
          </w:p>
        </w:tc>
      </w:tr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GND</w:t>
            </w:r>
          </w:p>
        </w:tc>
      </w:tr>
    </w:tbl>
    <w:p w:rsidR="002C4306" w:rsidRDefault="002C4306">
      <w:pPr>
        <w:rPr>
          <w:rFonts w:ascii="Calibri" w:eastAsia="Times New Roman" w:hAnsi="Calibri"/>
        </w:rPr>
      </w:pPr>
    </w:p>
    <w:p w:rsidR="002C4306" w:rsidRDefault="002C430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J2 (</w:t>
      </w:r>
      <w:r w:rsidR="00C5239B">
        <w:rPr>
          <w:rFonts w:ascii="Calibri" w:eastAsia="Times New Roman" w:hAnsi="Calibri"/>
        </w:rPr>
        <w:t>I2C):</w:t>
      </w:r>
      <w:r w:rsidR="00CA5220">
        <w:rPr>
          <w:rFonts w:ascii="Calibri" w:eastAsia="Times New Roman" w:hAnsi="Calibri"/>
        </w:rPr>
        <w:t xml:space="preserve"> Ezen az interface-en akár további külső eszközök is csatlakoztathatók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276"/>
      </w:tblGrid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</w:t>
            </w:r>
          </w:p>
        </w:tc>
        <w:tc>
          <w:tcPr>
            <w:tcW w:w="1276" w:type="dxa"/>
          </w:tcPr>
          <w:p w:rsidR="002C4306" w:rsidRDefault="00C5239B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SDA</w:t>
            </w:r>
          </w:p>
        </w:tc>
      </w:tr>
      <w:tr w:rsidR="00C5239B" w:rsidTr="006578F5">
        <w:tc>
          <w:tcPr>
            <w:tcW w:w="392" w:type="dxa"/>
          </w:tcPr>
          <w:p w:rsidR="00C5239B" w:rsidRDefault="00C5239B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</w:t>
            </w:r>
          </w:p>
        </w:tc>
        <w:tc>
          <w:tcPr>
            <w:tcW w:w="1276" w:type="dxa"/>
          </w:tcPr>
          <w:p w:rsidR="00C5239B" w:rsidRDefault="00C5239B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SCL</w:t>
            </w:r>
          </w:p>
        </w:tc>
      </w:tr>
      <w:tr w:rsidR="002C4306" w:rsidTr="006578F5">
        <w:tc>
          <w:tcPr>
            <w:tcW w:w="392" w:type="dxa"/>
          </w:tcPr>
          <w:p w:rsidR="002C4306" w:rsidRDefault="00C5239B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GND</w:t>
            </w:r>
          </w:p>
        </w:tc>
      </w:tr>
    </w:tbl>
    <w:p w:rsidR="002C4306" w:rsidRDefault="002C4306">
      <w:pPr>
        <w:rPr>
          <w:rFonts w:ascii="Calibri" w:eastAsia="Times New Roman" w:hAnsi="Calibri"/>
        </w:rPr>
      </w:pPr>
    </w:p>
    <w:p w:rsidR="002C4306" w:rsidRDefault="002C430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J3 (Táp): A </w:t>
      </w:r>
      <w:r w:rsidR="003C1843">
        <w:rPr>
          <w:rFonts w:ascii="Calibri" w:eastAsia="Times New Roman" w:hAnsi="Calibri"/>
        </w:rPr>
        <w:t>hőmérő tápellátása. 3</w:t>
      </w:r>
      <w:r>
        <w:rPr>
          <w:rFonts w:ascii="Calibri" w:eastAsia="Times New Roman" w:hAnsi="Calibri"/>
        </w:rPr>
        <w:t>V</w:t>
      </w:r>
      <w:r w:rsidR="003C1843">
        <w:rPr>
          <w:rFonts w:ascii="Calibri" w:eastAsia="Times New Roman" w:hAnsi="Calibri"/>
        </w:rPr>
        <w:t xml:space="preserve"> DC (2x AA elem)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276"/>
      </w:tblGrid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VCC</w:t>
            </w:r>
          </w:p>
        </w:tc>
      </w:tr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GND</w:t>
            </w:r>
          </w:p>
        </w:tc>
      </w:tr>
    </w:tbl>
    <w:p w:rsidR="002C4306" w:rsidRDefault="002C4306">
      <w:pPr>
        <w:rPr>
          <w:rFonts w:ascii="Calibri" w:eastAsia="Times New Roman" w:hAnsi="Calibri"/>
        </w:rPr>
      </w:pPr>
    </w:p>
    <w:p w:rsidR="003C1843" w:rsidRDefault="003C184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J4 (EXT): későbbi bővítésre használható csatlakozó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276"/>
      </w:tblGrid>
      <w:tr w:rsidR="006578F5" w:rsidTr="006578F5">
        <w:tc>
          <w:tcPr>
            <w:tcW w:w="392" w:type="dxa"/>
          </w:tcPr>
          <w:p w:rsidR="006578F5" w:rsidRDefault="006578F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</w:t>
            </w:r>
          </w:p>
        </w:tc>
        <w:tc>
          <w:tcPr>
            <w:tcW w:w="1276" w:type="dxa"/>
          </w:tcPr>
          <w:p w:rsidR="006578F5" w:rsidRDefault="003C1843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GND</w:t>
            </w:r>
          </w:p>
        </w:tc>
      </w:tr>
      <w:tr w:rsidR="006578F5" w:rsidTr="006578F5">
        <w:tc>
          <w:tcPr>
            <w:tcW w:w="392" w:type="dxa"/>
          </w:tcPr>
          <w:p w:rsidR="006578F5" w:rsidRDefault="006578F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 xml:space="preserve">2 </w:t>
            </w:r>
          </w:p>
        </w:tc>
        <w:tc>
          <w:tcPr>
            <w:tcW w:w="1276" w:type="dxa"/>
          </w:tcPr>
          <w:p w:rsidR="006578F5" w:rsidRDefault="003C1843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P1.5</w:t>
            </w:r>
          </w:p>
        </w:tc>
      </w:tr>
      <w:tr w:rsidR="003C1843" w:rsidTr="006578F5">
        <w:tc>
          <w:tcPr>
            <w:tcW w:w="392" w:type="dxa"/>
          </w:tcPr>
          <w:p w:rsidR="003C1843" w:rsidRDefault="003C1843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  <w:tc>
          <w:tcPr>
            <w:tcW w:w="1276" w:type="dxa"/>
          </w:tcPr>
          <w:p w:rsidR="003C1843" w:rsidRDefault="003C1843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P1.2</w:t>
            </w:r>
          </w:p>
        </w:tc>
      </w:tr>
      <w:tr w:rsidR="006578F5" w:rsidTr="006578F5">
        <w:tc>
          <w:tcPr>
            <w:tcW w:w="392" w:type="dxa"/>
          </w:tcPr>
          <w:p w:rsidR="006578F5" w:rsidRDefault="003C1843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</w:t>
            </w:r>
          </w:p>
        </w:tc>
        <w:tc>
          <w:tcPr>
            <w:tcW w:w="1276" w:type="dxa"/>
          </w:tcPr>
          <w:p w:rsidR="006578F5" w:rsidRDefault="003C1843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VCC</w:t>
            </w:r>
          </w:p>
        </w:tc>
      </w:tr>
    </w:tbl>
    <w:p w:rsidR="007959D3" w:rsidRPr="00062ED1" w:rsidRDefault="00D839EC">
      <w:pPr>
        <w:rPr>
          <w:rFonts w:ascii="Calibri" w:eastAsia="Times New Roman" w:hAnsi="Calibri"/>
          <w:b/>
        </w:rPr>
      </w:pPr>
      <w:r>
        <w:rPr>
          <w:rFonts w:ascii="Calibri" w:eastAsia="Times New Roman" w:hAnsi="Calibri"/>
        </w:rPr>
        <w:br/>
      </w:r>
      <w:r w:rsidRPr="00062ED1">
        <w:rPr>
          <w:rFonts w:ascii="Calibri" w:eastAsia="Times New Roman" w:hAnsi="Calibri"/>
          <w:b/>
        </w:rPr>
        <w:t>Építés/élesztés</w:t>
      </w:r>
    </w:p>
    <w:p w:rsidR="008168C0" w:rsidRDefault="00CA5220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panelt</w:t>
      </w:r>
      <w:r w:rsidR="00D839EC">
        <w:rPr>
          <w:rFonts w:ascii="Calibri" w:eastAsia="Times New Roman" w:hAnsi="Calibri"/>
        </w:rPr>
        <w:t xml:space="preserve"> a</w:t>
      </w:r>
      <w:r>
        <w:rPr>
          <w:rFonts w:ascii="Calibri" w:eastAsia="Times New Roman" w:hAnsi="Calibri"/>
        </w:rPr>
        <w:t xml:space="preserve"> fehasznált SMD alkatrészek miatt (nem igazán találtam megfelelő DIP tokos alternatívát) elsősorban erre szakosodott szolgáltatóknál érdemes rendelni. Az SMD alkatrészek </w:t>
      </w:r>
      <w:r w:rsidR="002A4399">
        <w:rPr>
          <w:rFonts w:ascii="Calibri" w:eastAsia="Times New Roman" w:hAnsi="Calibri"/>
        </w:rPr>
        <w:t xml:space="preserve">forrasztása némi gyakorlással elsajátítható. </w:t>
      </w:r>
      <w:r w:rsidR="00CB3C6C">
        <w:rPr>
          <w:rFonts w:ascii="Calibri" w:eastAsia="Times New Roman" w:hAnsi="Calibri"/>
        </w:rPr>
        <w:t xml:space="preserve"> </w:t>
      </w:r>
      <w:r w:rsidR="008168C0">
        <w:rPr>
          <w:rFonts w:ascii="Calibri" w:eastAsia="Times New Roman" w:hAnsi="Calibri"/>
        </w:rPr>
        <w:t>Az LCD panel beültetésénél három</w:t>
      </w:r>
      <w:r w:rsidR="00CB3C6C">
        <w:rPr>
          <w:rFonts w:ascii="Calibri" w:eastAsia="Times New Roman" w:hAnsi="Calibri"/>
        </w:rPr>
        <w:t xml:space="preserve"> dologra oda kell figyelni:</w:t>
      </w:r>
    </w:p>
    <w:p w:rsidR="008168C0" w:rsidRDefault="00CB3C6C" w:rsidP="008168C0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 w:rsidRPr="008168C0">
        <w:rPr>
          <w:rFonts w:ascii="Calibri" w:eastAsia="Times New Roman" w:hAnsi="Calibri"/>
        </w:rPr>
        <w:t xml:space="preserve">Ne ejtsük le. A szerkezet üvegből van én sajna </w:t>
      </w:r>
      <w:r w:rsidR="008168C0" w:rsidRPr="008168C0">
        <w:rPr>
          <w:rFonts w:ascii="Calibri" w:eastAsia="Times New Roman" w:hAnsi="Calibri"/>
        </w:rPr>
        <w:t>az első darabot így törtem el.</w:t>
      </w:r>
    </w:p>
    <w:p w:rsidR="008168C0" w:rsidRDefault="008168C0" w:rsidP="008168C0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Az LCD az utolsó amit beültetünk. Még a teleptartó csatlakozóját is előtte kell bekötni, mert utána már nem férünk hozzá</w:t>
      </w:r>
    </w:p>
    <w:p w:rsidR="008168C0" w:rsidRDefault="008168C0" w:rsidP="008168C0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Az LCD magasságát nem egyszerű beállítani, mert az alá kerülő csatlakozókon és/vagy alkatrészlábakon az LCD felül és így könnyen lehet ferdén beforrasztani.</w:t>
      </w:r>
    </w:p>
    <w:p w:rsidR="00A226A1" w:rsidRDefault="002A439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Az áramkör élesztéséhez nem szükséges további műveletek elvégzése, a beforrasztás és a programozás után</w:t>
      </w:r>
      <w:r w:rsidR="00D839EC">
        <w:rPr>
          <w:rFonts w:ascii="Calibri" w:eastAsia="Times New Roman" w:hAnsi="Calibri"/>
        </w:rPr>
        <w:t>.</w:t>
      </w:r>
    </w:p>
    <w:p w:rsidR="00A226A1" w:rsidRPr="008168C0" w:rsidRDefault="00A226A1">
      <w:pPr>
        <w:rPr>
          <w:rFonts w:ascii="Calibri" w:eastAsia="Times New Roman" w:hAnsi="Calibri"/>
          <w:b/>
        </w:rPr>
      </w:pPr>
      <w:r w:rsidRPr="008168C0">
        <w:rPr>
          <w:rFonts w:ascii="Calibri" w:eastAsia="Times New Roman" w:hAnsi="Calibri"/>
          <w:b/>
        </w:rPr>
        <w:t>Doboz</w:t>
      </w:r>
    </w:p>
    <w:p w:rsidR="008168C0" w:rsidRDefault="00A226A1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lastRenderedPageBreak/>
        <w:t>Doboznak a Dangerous Prototypes által tervezett és a Seeed Studio által gyártott „Sick of Beige” dobozok egyikét választottam (pontosabban a DP7043-as model</w:t>
      </w:r>
      <w:r w:rsidR="00CB3C6C">
        <w:rPr>
          <w:rFonts w:ascii="Calibri" w:eastAsia="Times New Roman" w:hAnsi="Calibri"/>
        </w:rPr>
        <w:t>l</w:t>
      </w:r>
      <w:r>
        <w:rPr>
          <w:rFonts w:ascii="Calibri" w:eastAsia="Times New Roman" w:hAnsi="Calibri"/>
        </w:rPr>
        <w:t>t)</w:t>
      </w:r>
      <w:r w:rsidR="00CB3C6C">
        <w:rPr>
          <w:rFonts w:ascii="Calibri" w:eastAsia="Times New Roman" w:hAnsi="Calibri"/>
        </w:rPr>
        <w:t>. Az egyetlen módosítás az eredetihez képest, hogy a dobozhoz adott  8db távtartóból 4-et (a kicsit nagyobbakat) lecseréltem</w:t>
      </w:r>
      <w:r w:rsidR="008168C0">
        <w:rPr>
          <w:rFonts w:ascii="Calibri" w:eastAsia="Times New Roman" w:hAnsi="Calibri"/>
        </w:rPr>
        <w:t xml:space="preserve"> 20mm-esre, hogy a teleptartó elférjen. Az összerakás a következőképpen zajlik:</w:t>
      </w:r>
    </w:p>
    <w:p w:rsidR="001A3050" w:rsidRDefault="001A3050" w:rsidP="001A3050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Az egyik aktril fedőlapról lehúzzuk a védő papírt, és a hosszabb csavarokkal reerősítjük a 4db 5mm-es távtartót</w:t>
      </w:r>
    </w:p>
    <w:p w:rsidR="001A3050" w:rsidRDefault="001A3050" w:rsidP="001A3050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távtartókra felültetjük a beültetett panelt oly módon, hogy az LCD az akril lap felé álljon</w:t>
      </w:r>
    </w:p>
    <w:p w:rsidR="001A3050" w:rsidRDefault="001A3050" w:rsidP="001A3050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rögzítjük a panelt a hosszabb távtartókkal (A programozást ebben az állapotban érdemes elvégezni, mert ekkor még hozzáférünk az EXT csatlakozó táplábaihoz)</w:t>
      </w:r>
    </w:p>
    <w:p w:rsidR="001A3050" w:rsidRDefault="001A3050" w:rsidP="001A3050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lehúzzuk a védő papírt a másik akril lapról és kétoldalas ragasztóval hozzárögzítjük a teleptartót.</w:t>
      </w:r>
    </w:p>
    <w:p w:rsidR="001A3050" w:rsidRPr="001A3050" w:rsidRDefault="001A3050" w:rsidP="001A3050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második akril lapot a rövidebb csavarokkal rögzítjük a távtartóhoz.</w:t>
      </w:r>
    </w:p>
    <w:p w:rsidR="007959D3" w:rsidRDefault="00D839E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br/>
      </w:r>
      <w:r w:rsidRPr="00062ED1">
        <w:rPr>
          <w:rFonts w:ascii="Calibri" w:eastAsia="Times New Roman" w:hAnsi="Calibri"/>
          <w:b/>
        </w:rPr>
        <w:t>Programkód működése</w:t>
      </w:r>
    </w:p>
    <w:p w:rsidR="00EE2C0D" w:rsidRDefault="00EE2C0D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program a következő részekből áll:</w:t>
      </w:r>
    </w:p>
    <w:p w:rsidR="00EE2C0D" w:rsidRDefault="00EE2C0D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Ütemező: A WDT másodpercenként </w:t>
      </w:r>
      <w:r w:rsidR="000947D9">
        <w:rPr>
          <w:rFonts w:ascii="Calibri" w:eastAsia="Times New Roman" w:hAnsi="Calibri"/>
        </w:rPr>
        <w:t xml:space="preserve">kb. </w:t>
      </w:r>
      <w:r>
        <w:rPr>
          <w:rFonts w:ascii="Calibri" w:eastAsia="Times New Roman" w:hAnsi="Calibri"/>
        </w:rPr>
        <w:t>3-szor felébreszti a processzort, ekkor a szoftver megnézi, hogy kell-e valamit csinálni, ha nem akkor a processzor visszameg alvó módba (helyzettől függően LPM0-ba, vagy LPM3-</w:t>
      </w:r>
      <w:r w:rsidR="000947D9">
        <w:rPr>
          <w:rFonts w:ascii="Calibri" w:eastAsia="Times New Roman" w:hAnsi="Calibri"/>
        </w:rPr>
        <w:t>ba). Egy teljes mérési ciklus 18</w:t>
      </w:r>
      <w:r>
        <w:rPr>
          <w:rFonts w:ascii="Calibri" w:eastAsia="Times New Roman" w:hAnsi="Calibri"/>
        </w:rPr>
        <w:t>0 WDT ciklusból áll, ami esetünkben azt jelenti, hogy kb. 1 percenként zajlik egy mérés</w:t>
      </w:r>
    </w:p>
    <w:p w:rsidR="00EE2C0D" w:rsidRDefault="00EE2C0D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Mérés: Az ütemező minden 0-ás ciklusánál zajlik a mérés előkészítése. Ez abból áll, hogy a program a hőmérőt  az I2C buszon keresztül aktív módba kapcsolja. Az ütemező 1-es ciklusánál zajlik a mérés maga. Ekkor a program kiolvassa a hőmérő értékét, kikapcsolja a hőmérőt (shutdown mód), a kiolvasott értéket, konverzió után kiküldi a kijelzőre</w:t>
      </w:r>
      <w:r w:rsidR="00D14E08">
        <w:rPr>
          <w:rFonts w:ascii="Calibri" w:eastAsia="Times New Roman" w:hAnsi="Calibri"/>
        </w:rPr>
        <w:t>.</w:t>
      </w:r>
    </w:p>
    <w:p w:rsidR="00D14E08" w:rsidRDefault="00D14E0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telep ellenőrzése:</w:t>
      </w:r>
    </w:p>
    <w:p w:rsidR="00D14E08" w:rsidRDefault="00D14E0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telepfeszültség ellenőrzése a hőmérséklet méréssel (ütemező 1-es ciklus) párhuzamosan történik. A mérés elején a program bekapcsolja az AD konvertert és az AD konverter referenciáját.  A mérés végén pedig elindít egy egyszeri AD konverziót (az AD konverter bemenete a tápfeszültség felére a referencia pedig 2,5V-ra van kötve). Az 1-es ciklus végén az ütemező nem LPM3-as módba, hanem LPM0-ba kapcsolja a processzort, hogy az AD konverzió folytatódni tudjon. A konverzió végén az AD konverter felébreszti a processzort és a konverzió eredménye tárolásra került.</w:t>
      </w:r>
    </w:p>
    <w:p w:rsidR="00D14E08" w:rsidRDefault="00D14E0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következő mérési ciklusban a tápfeszültség értékétől függően a kijelzőn bekapcsolásra kerül a LO BATT jelzés.</w:t>
      </w:r>
    </w:p>
    <w:p w:rsidR="00D14E08" w:rsidRDefault="00D14E0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Ez a gyakorlatban azt jelenti, hogy a merülő telep jelzése kb. egy perc késleltetéssel kerül a kijelzőre, de ez a működés szempontjából zavart nem okoz.</w:t>
      </w:r>
    </w:p>
    <w:p w:rsidR="00D839EC" w:rsidRPr="00062ED1" w:rsidRDefault="00D839EC">
      <w:pPr>
        <w:rPr>
          <w:rFonts w:ascii="Calibri" w:eastAsia="Times New Roman" w:hAnsi="Calibri"/>
          <w:b/>
        </w:rPr>
      </w:pPr>
      <w:r w:rsidRPr="00062ED1">
        <w:rPr>
          <w:rFonts w:ascii="Calibri" w:eastAsia="Times New Roman" w:hAnsi="Calibri"/>
          <w:b/>
        </w:rPr>
        <w:t>Programozás</w:t>
      </w:r>
    </w:p>
    <w:p w:rsidR="00922BAF" w:rsidRDefault="00922BAF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programozás ugyanúgy zajlik, mint ahogy a korábbi „Frekvenciamérő MSP430-al” cikkemben megjelent. Az ismétlések elkerülése végett, ezt itt nem írom le újra.</w:t>
      </w:r>
    </w:p>
    <w:p w:rsidR="00A2535A" w:rsidRPr="00062ED1" w:rsidRDefault="006578F5">
      <w:pPr>
        <w:rPr>
          <w:b/>
        </w:rPr>
      </w:pPr>
      <w:r w:rsidRPr="00062ED1">
        <w:rPr>
          <w:b/>
        </w:rPr>
        <w:lastRenderedPageBreak/>
        <w:t>Irodalomjegyzék:</w:t>
      </w:r>
    </w:p>
    <w:p w:rsidR="006578F5" w:rsidRDefault="0077122E">
      <w:r>
        <w:t xml:space="preserve">Texas Instruments MSP-EXP430G2 LaunchPad Experimenter Board User’s Guide: </w:t>
      </w:r>
      <w:hyperlink r:id="rId7" w:history="1">
        <w:r w:rsidRPr="00856FA9">
          <w:rPr>
            <w:rStyle w:val="Hyperlink"/>
          </w:rPr>
          <w:t>http://www.ti.com/litv/pdf/slau318c</w:t>
        </w:r>
      </w:hyperlink>
    </w:p>
    <w:p w:rsidR="0077122E" w:rsidRDefault="0077122E">
      <w:r>
        <w:t>Texas Instruments MSP430G2x32, MSP430G2x02 Mixed Signal Microcontroller DataSheet:</w:t>
      </w:r>
    </w:p>
    <w:p w:rsidR="0077122E" w:rsidRDefault="00B536F6">
      <w:hyperlink r:id="rId8" w:history="1">
        <w:r w:rsidR="00922BAF" w:rsidRPr="002B175D">
          <w:rPr>
            <w:rStyle w:val="Hyperlink"/>
          </w:rPr>
          <w:t>http://www.ti.com/lit/gpn/msp430g2230</w:t>
        </w:r>
      </w:hyperlink>
    </w:p>
    <w:p w:rsidR="0077122E" w:rsidRDefault="0077122E">
      <w:r>
        <w:t>Texas Instruments MSP430x2xx Family User’s Guide:</w:t>
      </w:r>
    </w:p>
    <w:p w:rsidR="00922BAF" w:rsidRDefault="00B536F6" w:rsidP="00922BAF">
      <w:pPr>
        <w:rPr>
          <w:rStyle w:val="Hyperlink"/>
        </w:rPr>
      </w:pPr>
      <w:hyperlink r:id="rId9" w:history="1">
        <w:r w:rsidR="00922BAF" w:rsidRPr="00856FA9">
          <w:rPr>
            <w:rStyle w:val="Hyperlink"/>
          </w:rPr>
          <w:t>http://www.ti.com/litv/pdf/slau144i</w:t>
        </w:r>
      </w:hyperlink>
    </w:p>
    <w:p w:rsidR="00922BAF" w:rsidRDefault="00922BAF">
      <w:r>
        <w:t>Microchip MCP9808 datasheet:</w:t>
      </w:r>
    </w:p>
    <w:p w:rsidR="00922BAF" w:rsidRDefault="00B536F6">
      <w:hyperlink r:id="rId10" w:history="1">
        <w:r w:rsidR="00922BAF" w:rsidRPr="002B175D">
          <w:rPr>
            <w:rStyle w:val="Hyperlink"/>
          </w:rPr>
          <w:t>http://ww1.microchip.com/downloads/en/DeviceDoc/25095A.pdf</w:t>
        </w:r>
      </w:hyperlink>
    </w:p>
    <w:p w:rsidR="00922BAF" w:rsidRDefault="00922BAF">
      <w:r>
        <w:t xml:space="preserve">NXP </w:t>
      </w:r>
      <w:r w:rsidR="003F3968">
        <w:t>PCF8576C datasheet:</w:t>
      </w:r>
    </w:p>
    <w:p w:rsidR="003F3968" w:rsidRDefault="00B536F6">
      <w:hyperlink r:id="rId11" w:history="1">
        <w:r w:rsidR="003F3968" w:rsidRPr="002B175D">
          <w:rPr>
            <w:rStyle w:val="Hyperlink"/>
          </w:rPr>
          <w:t>http://www.nxp.com/documents/data_sheet/PCF8576C.pdf</w:t>
        </w:r>
      </w:hyperlink>
    </w:p>
    <w:p w:rsidR="003F3968" w:rsidRDefault="003F3968"/>
    <w:p w:rsidR="00922BAF" w:rsidRPr="00922BAF" w:rsidRDefault="00922BAF">
      <w:pPr>
        <w:rPr>
          <w:color w:val="0000FF" w:themeColor="hyperlink"/>
          <w:u w:val="single"/>
        </w:rPr>
      </w:pPr>
    </w:p>
    <w:sectPr w:rsidR="00922BAF" w:rsidRPr="00922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B06"/>
    <w:multiLevelType w:val="hybridMultilevel"/>
    <w:tmpl w:val="085CEF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043BC"/>
    <w:multiLevelType w:val="hybridMultilevel"/>
    <w:tmpl w:val="B59218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35393"/>
    <w:multiLevelType w:val="hybridMultilevel"/>
    <w:tmpl w:val="11EE5280"/>
    <w:lvl w:ilvl="0" w:tplc="8C08B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31AFB"/>
    <w:multiLevelType w:val="hybridMultilevel"/>
    <w:tmpl w:val="7DDE12EA"/>
    <w:lvl w:ilvl="0" w:tplc="BD68F82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35A"/>
    <w:rsid w:val="00062ED1"/>
    <w:rsid w:val="000947D9"/>
    <w:rsid w:val="001951C4"/>
    <w:rsid w:val="001A3050"/>
    <w:rsid w:val="001C0558"/>
    <w:rsid w:val="001C315B"/>
    <w:rsid w:val="001C342F"/>
    <w:rsid w:val="002A4399"/>
    <w:rsid w:val="002B5F22"/>
    <w:rsid w:val="002C4306"/>
    <w:rsid w:val="003C1843"/>
    <w:rsid w:val="003F3968"/>
    <w:rsid w:val="00405270"/>
    <w:rsid w:val="004E2E37"/>
    <w:rsid w:val="005A643C"/>
    <w:rsid w:val="006578F5"/>
    <w:rsid w:val="0077122E"/>
    <w:rsid w:val="00786C69"/>
    <w:rsid w:val="007959D3"/>
    <w:rsid w:val="007E4C18"/>
    <w:rsid w:val="007F24F3"/>
    <w:rsid w:val="008168C0"/>
    <w:rsid w:val="00866FBF"/>
    <w:rsid w:val="00922BAF"/>
    <w:rsid w:val="00A10081"/>
    <w:rsid w:val="00A226A1"/>
    <w:rsid w:val="00A2535A"/>
    <w:rsid w:val="00A56386"/>
    <w:rsid w:val="00AF1F99"/>
    <w:rsid w:val="00B536F6"/>
    <w:rsid w:val="00BA593D"/>
    <w:rsid w:val="00C5239B"/>
    <w:rsid w:val="00CA5220"/>
    <w:rsid w:val="00CB3C6C"/>
    <w:rsid w:val="00D14E08"/>
    <w:rsid w:val="00D70472"/>
    <w:rsid w:val="00D839EC"/>
    <w:rsid w:val="00E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3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4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3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4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lit/gpn/msp430g223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ti.com/litv/pdf/slau318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-pro-hu.blogspot.com" TargetMode="External"/><Relationship Id="rId11" Type="http://schemas.openxmlformats.org/officeDocument/2006/relationships/hyperlink" Target="http://www.nxp.com/documents/data_sheet/PCF8576C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1.microchip.com/downloads/en/DeviceDoc/25095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.com/litv/pdf/slau144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4</Pages>
  <Words>890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Ri-Dent Kft.</Company>
  <LinksUpToDate>false</LinksUpToDate>
  <CharactersWithSpaces>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Gömöri Zoltán</cp:lastModifiedBy>
  <cp:revision>12</cp:revision>
  <cp:lastPrinted>2013-06-09T07:46:00Z</cp:lastPrinted>
  <dcterms:created xsi:type="dcterms:W3CDTF">2013-05-22T13:25:00Z</dcterms:created>
  <dcterms:modified xsi:type="dcterms:W3CDTF">2013-06-09T07:47:00Z</dcterms:modified>
</cp:coreProperties>
</file>