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LEGENDS MLM SOFTWARE</w:t>
      </w:r>
    </w:p>
    <w:p>
      <w:pPr>
        <w:spacing w:before="200"/>
        <w:jc w:val="center"/>
      </w:pPr>
      <w:r>
        <w:rPr>
          <w:b/>
          <w:bCs/>
          <w:color w:val="B8860B"/>
          <w:sz w:val="32"/>
          <w:szCs w:val="32"/>
        </w:rPr>
        <w:t xml:space="preserve">Development Roadmap, Architecture &amp; Build Guide</w:t>
      </w:r>
    </w:p>
    <w:p>
      <w:pPr>
        <w:spacing w:before="120"/>
        <w:jc w:val="center"/>
      </w:pPr>
      <w:r>
        <w:rPr>
          <w:i/>
          <w:iCs/>
          <w:color w:val="595959"/>
          <w:sz w:val="22"/>
          <w:szCs w:val="22"/>
        </w:rPr>
        <w:t xml:space="preserve">Companion to SRS v1.0 — Unlimited Direct Referral • 10-Level Network • Jewellery Savings Model</w:t>
      </w:r>
    </w:p>
    <w:p>
      <w:pPr>
        <w:spacing w:before="1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Item</w:t>
            </w:r>
          </w:p>
        </w:tc>
        <w:tc>
          <w:tcPr>
            <w:tcW w:type="dxa" w:w="6200"/>
            <w:shd w:fill="1F3864"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Document</w:t>
            </w:r>
          </w:p>
        </w:tc>
        <w:tc>
          <w:tcPr>
            <w:tcW w:type="dxa" w:w="6200"/>
            <w:tcMar>
              <w:top w:type="dxa" w:w="80"/>
              <w:left w:type="dxa" w:w="100"/>
              <w:bottom w:type="dxa" w:w="80"/>
              <w:right w:type="dxa" w:w="100"/>
            </w:tcMar>
            <w:vAlign w:val="center"/>
          </w:tcPr>
          <w:p>
            <w:r>
              <w:rPr>
                <w:b w:val="false"/>
                <w:bCs w:val="false"/>
                <w:color w:val="000000"/>
                <w:sz w:val="20"/>
                <w:szCs w:val="20"/>
              </w:rPr>
              <w:t xml:space="preserve">Development Guide v1.0</w:t>
            </w:r>
          </w:p>
        </w:tc>
      </w:tr>
      <w:tr>
        <w:tc>
          <w:tcPr>
            <w:tcW w:type="dxa" w:w="3200"/>
            <w:shd w:fill="F2F2F2" w:color="auto" w:val="clear"/>
            <w:tcMar>
              <w:top w:type="dxa" w:w="80"/>
              <w:left w:type="dxa" w:w="100"/>
              <w:bottom w:type="dxa" w:w="80"/>
              <w:right w:type="dxa" w:w="100"/>
            </w:tcMar>
            <w:vAlign w:val="center"/>
          </w:tcPr>
          <w:p>
            <w:r>
              <w:rPr>
                <w:b w:val="false"/>
                <w:bCs w:val="false"/>
                <w:color w:val="000000"/>
                <w:sz w:val="20"/>
                <w:szCs w:val="20"/>
              </w:rPr>
              <w:t xml:space="preserve">Based on</w:t>
            </w:r>
          </w:p>
        </w:tc>
        <w:tc>
          <w:tcPr>
            <w:tcW w:type="dxa" w:w="6200"/>
            <w:shd w:fill="F2F2F2" w:color="auto" w:val="clear"/>
            <w:tcMar>
              <w:top w:type="dxa" w:w="80"/>
              <w:left w:type="dxa" w:w="100"/>
              <w:bottom w:type="dxa" w:w="80"/>
              <w:right w:type="dxa" w:w="100"/>
            </w:tcMar>
            <w:vAlign w:val="center"/>
          </w:tcPr>
          <w:p>
            <w:r>
              <w:rPr>
                <w:b w:val="false"/>
                <w:bCs w:val="false"/>
                <w:color w:val="000000"/>
                <w:sz w:val="20"/>
                <w:szCs w:val="20"/>
              </w:rPr>
              <w:t xml:space="preserve">Legends MLM SRS v1.0</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Recommended Stack</w:t>
            </w:r>
          </w:p>
        </w:tc>
        <w:tc>
          <w:tcPr>
            <w:tcW w:type="dxa" w:w="6200"/>
            <w:tcMar>
              <w:top w:type="dxa" w:w="80"/>
              <w:left w:type="dxa" w:w="100"/>
              <w:bottom w:type="dxa" w:w="80"/>
              <w:right w:type="dxa" w:w="100"/>
            </w:tcMar>
            <w:vAlign w:val="center"/>
          </w:tcPr>
          <w:p>
            <w:r>
              <w:rPr>
                <w:b w:val="false"/>
                <w:bCs w:val="false"/>
                <w:color w:val="000000"/>
                <w:sz w:val="20"/>
                <w:szCs w:val="20"/>
              </w:rPr>
              <w:t xml:space="preserve">Node.js (NestJS) + PostgreSQL + React + Redis</w:t>
            </w:r>
          </w:p>
        </w:tc>
      </w:tr>
      <w:tr>
        <w:tc>
          <w:tcPr>
            <w:tcW w:type="dxa" w:w="3200"/>
            <w:shd w:fill="F2F2F2" w:color="auto" w:val="clear"/>
            <w:tcMar>
              <w:top w:type="dxa" w:w="80"/>
              <w:left w:type="dxa" w:w="100"/>
              <w:bottom w:type="dxa" w:w="80"/>
              <w:right w:type="dxa" w:w="100"/>
            </w:tcMar>
            <w:vAlign w:val="center"/>
          </w:tcPr>
          <w:p>
            <w:r>
              <w:rPr>
                <w:b w:val="false"/>
                <w:bCs w:val="false"/>
                <w:color w:val="000000"/>
                <w:sz w:val="20"/>
                <w:szCs w:val="20"/>
              </w:rPr>
              <w:t xml:space="preserve">Team Size</w:t>
            </w:r>
          </w:p>
        </w:tc>
        <w:tc>
          <w:tcPr>
            <w:tcW w:type="dxa" w:w="6200"/>
            <w:shd w:fill="F2F2F2" w:color="auto" w:val="clear"/>
            <w:tcMar>
              <w:top w:type="dxa" w:w="80"/>
              <w:left w:type="dxa" w:w="100"/>
              <w:bottom w:type="dxa" w:w="80"/>
              <w:right w:type="dxa" w:w="100"/>
            </w:tcMar>
            <w:vAlign w:val="center"/>
          </w:tcPr>
          <w:p>
            <w:r>
              <w:rPr>
                <w:b w:val="false"/>
                <w:bCs w:val="false"/>
                <w:color w:val="000000"/>
                <w:sz w:val="20"/>
                <w:szCs w:val="20"/>
              </w:rPr>
              <w:t xml:space="preserve">Solo developer</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Estimated Duration</w:t>
            </w:r>
          </w:p>
        </w:tc>
        <w:tc>
          <w:tcPr>
            <w:tcW w:type="dxa" w:w="6200"/>
            <w:tcMar>
              <w:top w:type="dxa" w:w="80"/>
              <w:left w:type="dxa" w:w="100"/>
              <w:bottom w:type="dxa" w:w="80"/>
              <w:right w:type="dxa" w:w="100"/>
            </w:tcMar>
            <w:vAlign w:val="center"/>
          </w:tcPr>
          <w:p>
            <w:r>
              <w:rPr>
                <w:b w:val="false"/>
                <w:bCs w:val="false"/>
                <w:color w:val="000000"/>
                <w:sz w:val="20"/>
                <w:szCs w:val="20"/>
              </w:rPr>
              <w:t xml:space="preserve">≈ 20–21 weeks (full-time, solo)</w:t>
            </w:r>
          </w:p>
        </w:tc>
      </w:tr>
      <w:tr>
        <w:tc>
          <w:tcPr>
            <w:tcW w:type="dxa" w:w="3200"/>
            <w:shd w:fill="F2F2F2" w:color="auto" w:val="clear"/>
            <w:tcMar>
              <w:top w:type="dxa" w:w="80"/>
              <w:left w:type="dxa" w:w="100"/>
              <w:bottom w:type="dxa" w:w="80"/>
              <w:right w:type="dxa" w:w="100"/>
            </w:tcMar>
            <w:vAlign w:val="center"/>
          </w:tcPr>
          <w:p>
            <w:r>
              <w:rPr>
                <w:b w:val="false"/>
                <w:bCs w:val="false"/>
                <w:color w:val="000000"/>
                <w:sz w:val="20"/>
                <w:szCs w:val="20"/>
              </w:rPr>
              <w:t xml:space="preserve">Payment Gateway</w:t>
            </w:r>
          </w:p>
        </w:tc>
        <w:tc>
          <w:tcPr>
            <w:tcW w:type="dxa" w:w="6200"/>
            <w:shd w:fill="F2F2F2" w:color="auto" w:val="clear"/>
            <w:tcMar>
              <w:top w:type="dxa" w:w="80"/>
              <w:left w:type="dxa" w:w="100"/>
              <w:bottom w:type="dxa" w:w="80"/>
              <w:right w:type="dxa" w:w="100"/>
            </w:tcMar>
            <w:vAlign w:val="center"/>
          </w:tcPr>
          <w:p>
            <w:r>
              <w:rPr>
                <w:b w:val="false"/>
                <w:bCs w:val="false"/>
                <w:color w:val="000000"/>
                <w:sz w:val="20"/>
                <w:szCs w:val="20"/>
              </w:rPr>
              <w:t xml:space="preserve">Razorpay (recommended for INR / UPI)</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0. How to Use This Guide</w:t>
      </w:r>
    </w:p>
    <w:p>
      <w:pPr>
        <w:spacing w:after="160"/>
      </w:pPr>
      <w:r>
        <w:t xml:space="preserve">This document turns the Legends MLM SRS v1.0 into an executable build plan. It is organized so you can work top to bottom: confirm the open business decisions, set up the architecture and database, then build modules in the sequence given. Each module section lists what to build, the SRS clauses it satisfies, and a definition of done you can check off.</w:t>
      </w:r>
    </w:p>
    <w:p>
      <w:pPr>
        <w:spacing w:after="160"/>
      </w:pPr>
      <w:r>
        <w:t xml:space="preserve">Two companion files come with this guide: schema.sql (the full PostgreSQL database schema, ready to run) and a starter project scaffold (backend + frontend folder structure with the module boundaries already laid out, so you can start coding immediately instead of setting up boilerplate).</w:t>
      </w:r>
    </w:p>
    <w:p>
      <w:pPr>
        <w:pStyle w:val="Heading1"/>
        <w:spacing w:after="160" w:before="360"/>
      </w:pPr>
      <w:r>
        <w:t xml:space="preserve">1. Open Business Decisions — Resolve Before Coding Financial Logic</w:t>
      </w:r>
    </w:p>
    <w:p>
      <w:pPr>
        <w:spacing w:after="160"/>
      </w:pPr>
      <w:r>
        <w:t xml:space="preserve">Section 29 of the SRS lists items that need your final business sign-off. These affect the commission engine, payment engine and payout workflow directly, so resolving them now avoids expensive rework later. You do not need to block the whole project on these — Phases 1–6 below do not depend on them — but Phases 7–13 (payments, commission, payouts) do.</w:t>
      </w:r>
    </w:p>
    <w:p>
      <w:pPr>
        <w:pStyle w:val="ListParagraph"/>
        <w:numPr>
          <w:ilvl w:val="0"/>
          <w:numId w:val="2"/>
        </w:numPr>
        <w:spacing w:after="80"/>
      </w:pPr>
      <w:r>
        <w:t xml:space="preserve">Is jewellery purchase/redemption a separate workflow from the monthly savings payment, or does the savings balance simply convert to jewellery value at redemption?</w:t>
      </w:r>
    </w:p>
    <w:p>
      <w:pPr>
        <w:pStyle w:val="ListParagraph"/>
        <w:numPr>
          <w:ilvl w:val="0"/>
          <w:numId w:val="2"/>
        </w:numPr>
        <w:spacing w:after="80"/>
      </w:pPr>
      <w:r>
        <w:t xml:space="preserve">If a member pays late or partially, what exactly counts as “a completed monthly payment” for that month?</w:t>
      </w:r>
    </w:p>
    <w:p>
      <w:pPr>
        <w:pStyle w:val="ListParagraph"/>
        <w:numPr>
          <w:ilvl w:val="0"/>
          <w:numId w:val="2"/>
        </w:numPr>
        <w:spacing w:after="80"/>
      </w:pPr>
      <w:r>
        <w:t xml:space="preserve">Can a member increase their committed monthly amount later? If yes, what is the approval/versioning process?</w:t>
      </w:r>
    </w:p>
    <w:p>
      <w:pPr>
        <w:pStyle w:val="ListParagraph"/>
        <w:numPr>
          <w:ilvl w:val="0"/>
          <w:numId w:val="2"/>
        </w:numPr>
        <w:spacing w:after="80"/>
      </w:pPr>
      <w:r>
        <w:t xml:space="preserve">What happens to member status after N consecutive missed payments (suspended? terminated? frozen network position?)</w:t>
      </w:r>
    </w:p>
    <w:p>
      <w:pPr>
        <w:pStyle w:val="ListParagraph"/>
        <w:numPr>
          <w:ilvl w:val="0"/>
          <w:numId w:val="2"/>
        </w:numPr>
        <w:spacing w:after="80"/>
      </w:pPr>
      <w:r>
        <w:t xml:space="preserve">If a missed payment is paid late, does it retroactively restore that month's commission eligibility?</w:t>
      </w:r>
    </w:p>
    <w:p>
      <w:pPr>
        <w:pStyle w:val="ListParagraph"/>
        <w:numPr>
          <w:ilvl w:val="0"/>
          <w:numId w:val="2"/>
        </w:numPr>
        <w:spacing w:after="80"/>
      </w:pPr>
      <w:r>
        <w:t xml:space="preserve">Who has payout approval authority, and can a member self-request a payout from the portal?</w:t>
      </w:r>
    </w:p>
    <w:p>
      <w:pPr>
        <w:pStyle w:val="ListParagraph"/>
        <w:numPr>
          <w:ilvl w:val="0"/>
          <w:numId w:val="2"/>
        </w:numPr>
        <w:spacing w:after="80"/>
      </w:pPr>
      <w:r>
        <w:t xml:space="preserve">What is the refund/cancellation policy, and how are already-paid commissions clawed back?</w:t>
      </w:r>
    </w:p>
    <w:p>
      <w:pPr>
        <w:pStyle w:val="ListParagraph"/>
        <w:numPr>
          <w:ilvl w:val="0"/>
          <w:numId w:val="2"/>
        </w:numPr>
        <w:spacing w:after="80"/>
      </w:pPr>
      <w:r>
        <w:t xml:space="preserve">What tax/TDS/GST treatment applies to commissions and payouts?</w:t>
      </w:r>
    </w:p>
    <w:p>
      <w:pPr>
        <w:pStyle w:val="ListParagraph"/>
        <w:numPr>
          <w:ilvl w:val="0"/>
          <w:numId w:val="2"/>
        </w:numPr>
        <w:spacing w:after="80"/>
      </w:pPr>
      <w:r>
        <w:t xml:space="preserve">Has the compensation structure had a legal/compliance (Prize Chit &amp; Money Circulation Schemes Banning Act, Direct Selling Guidelines) review?</w:t>
      </w:r>
    </w:p>
    <w:p>
      <w:pPr>
        <w:spacing w:after="160"/>
      </w:pPr>
      <w:r>
        <w:rPr>
          <w:i/>
          <w:iCs/>
          <w:color w:val="595959"/>
        </w:rPr>
        <w:t xml:space="preserve">Recommendation: draft short written answers to these nine questions and store them as a versioned “Business Rules v1.0” document alongside the SRS — the commission and payout engines should read these rules from configuration, never hard-code them.</w:t>
      </w:r>
    </w:p>
    <w:p>
      <w:pPr>
        <w:pStyle w:val="Heading1"/>
        <w:spacing w:after="160" w:before="360"/>
      </w:pPr>
      <w:r>
        <w:t xml:space="preserve">2. Recommended Technology Stack</w:t>
      </w:r>
    </w:p>
    <w:p>
      <w:pPr>
        <w:spacing w:after="160"/>
      </w:pPr>
      <w:r>
        <w:t xml:space="preserve">The SRS is technology-neutral but explicitly calls for a relational database, ledger integrity, and role-based access control (Sections 18, 19, 22, 30). The stack below satisfies those constraints while staying within a single language (TypeScript) end-to-end, which matters for a solo developer maintaining both frontend and backend.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700"/>
      </w:tblGrid>
      <w:tr>
        <w:trPr>
          <w:tblHeader/>
        </w:trPr>
        <w:tc>
          <w:tcPr>
            <w:tcW w:type="dxa" w:w="2100"/>
            <w:shd w:fill="1F3864" w:color="auto" w:val="clear"/>
            <w:tcMar>
              <w:top w:type="dxa" w:w="80"/>
              <w:left w:type="dxa" w:w="100"/>
              <w:bottom w:type="dxa" w:w="80"/>
              <w:right w:type="dxa" w:w="100"/>
            </w:tcMar>
            <w:vAlign w:val="center"/>
          </w:tcPr>
          <w:p>
            <w:r>
              <w:rPr>
                <w:b/>
                <w:bCs/>
                <w:color w:val="FFFFFF"/>
                <w:sz w:val="20"/>
                <w:szCs w:val="20"/>
              </w:rPr>
              <w:t xml:space="preserve">Layer</w:t>
            </w:r>
          </w:p>
        </w:tc>
        <w:tc>
          <w:tcPr>
            <w:tcW w:type="dxa" w:w="2600"/>
            <w:shd w:fill="1F3864" w:color="auto" w:val="clear"/>
            <w:tcMar>
              <w:top w:type="dxa" w:w="80"/>
              <w:left w:type="dxa" w:w="100"/>
              <w:bottom w:type="dxa" w:w="80"/>
              <w:right w:type="dxa" w:w="100"/>
            </w:tcMar>
            <w:vAlign w:val="center"/>
          </w:tcPr>
          <w:p>
            <w:r>
              <w:rPr>
                <w:b/>
                <w:bCs/>
                <w:color w:val="FFFFFF"/>
                <w:sz w:val="20"/>
                <w:szCs w:val="20"/>
              </w:rPr>
              <w:t xml:space="preserve">Choice</w:t>
            </w:r>
          </w:p>
        </w:tc>
        <w:tc>
          <w:tcPr>
            <w:tcW w:type="dxa" w:w="4700"/>
            <w:shd w:fill="1F3864" w:color="auto" w:val="clear"/>
            <w:tcMar>
              <w:top w:type="dxa" w:w="80"/>
              <w:left w:type="dxa" w:w="100"/>
              <w:bottom w:type="dxa" w:w="80"/>
              <w:right w:type="dxa" w:w="100"/>
            </w:tcMar>
            <w:vAlign w:val="center"/>
          </w:tcPr>
          <w:p>
            <w:r>
              <w:rPr>
                <w:b/>
                <w:bCs/>
                <w:color w:val="FFFFFF"/>
                <w:sz w:val="20"/>
                <w:szCs w:val="20"/>
              </w:rPr>
              <w:t xml:space="preserve">Why</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Backend framework</w:t>
            </w:r>
          </w:p>
        </w:tc>
        <w:tc>
          <w:tcPr>
            <w:tcW w:type="dxa" w:w="2600"/>
            <w:tcMar>
              <w:top w:type="dxa" w:w="80"/>
              <w:left w:type="dxa" w:w="100"/>
              <w:bottom w:type="dxa" w:w="80"/>
              <w:right w:type="dxa" w:w="100"/>
            </w:tcMar>
            <w:vAlign w:val="center"/>
          </w:tcPr>
          <w:p>
            <w:r>
              <w:rPr>
                <w:b w:val="false"/>
                <w:bCs w:val="false"/>
                <w:color w:val="000000"/>
                <w:sz w:val="20"/>
                <w:szCs w:val="20"/>
              </w:rPr>
              <w:t xml:space="preserve">NestJS (Node.js + TypeScript)</w:t>
            </w:r>
          </w:p>
        </w:tc>
        <w:tc>
          <w:tcPr>
            <w:tcW w:type="dxa" w:w="4700"/>
            <w:tcMar>
              <w:top w:type="dxa" w:w="80"/>
              <w:left w:type="dxa" w:w="100"/>
              <w:bottom w:type="dxa" w:w="80"/>
              <w:right w:type="dxa" w:w="100"/>
            </w:tcMar>
            <w:vAlign w:val="center"/>
          </w:tcPr>
          <w:p>
            <w:r>
              <w:rPr>
                <w:b w:val="false"/>
                <w:bCs w:val="false"/>
                <w:color w:val="000000"/>
                <w:sz w:val="20"/>
                <w:szCs w:val="20"/>
              </w:rPr>
              <w:t xml:space="preserve">Enforces the modular structure the SRS architecture diagram already implies (Auth / MLM Engine / Payment Engine / Notification Engine as separate modules). Built-in DI, guards and interceptors map directly to RBAC and audit logging.</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Database</w:t>
            </w:r>
          </w:p>
        </w:tc>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PostgreSQL 15+</w:t>
            </w:r>
          </w:p>
        </w:tc>
        <w:tc>
          <w:tcPr>
            <w:tcW w:type="dxa" w:w="4700"/>
            <w:shd w:fill="F2F2F2" w:color="auto" w:val="clear"/>
            <w:tcMar>
              <w:top w:type="dxa" w:w="80"/>
              <w:left w:type="dxa" w:w="100"/>
              <w:bottom w:type="dxa" w:w="80"/>
              <w:right w:type="dxa" w:w="100"/>
            </w:tcMar>
            <w:vAlign w:val="center"/>
          </w:tcPr>
          <w:p>
            <w:r>
              <w:rPr>
                <w:b w:val="false"/>
                <w:bCs w:val="false"/>
                <w:color w:val="000000"/>
                <w:sz w:val="20"/>
                <w:szCs w:val="20"/>
              </w:rPr>
              <w:t xml:space="preserve">ACID transactions for ledger integrity (Section 22); recursive CTEs make 10-level genealogy traversal a single indexed query instead of application-side loops; mature encryption/backup tooling.</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ORM / migrations</w:t>
            </w:r>
          </w:p>
        </w:tc>
        <w:tc>
          <w:tcPr>
            <w:tcW w:type="dxa" w:w="2600"/>
            <w:tcMar>
              <w:top w:type="dxa" w:w="80"/>
              <w:left w:type="dxa" w:w="100"/>
              <w:bottom w:type="dxa" w:w="80"/>
              <w:right w:type="dxa" w:w="100"/>
            </w:tcMar>
            <w:vAlign w:val="center"/>
          </w:tcPr>
          <w:p>
            <w:r>
              <w:rPr>
                <w:b w:val="false"/>
                <w:bCs w:val="false"/>
                <w:color w:val="000000"/>
                <w:sz w:val="20"/>
                <w:szCs w:val="20"/>
              </w:rPr>
              <w:t xml:space="preserve">Prisma</w:t>
            </w:r>
          </w:p>
        </w:tc>
        <w:tc>
          <w:tcPr>
            <w:tcW w:type="dxa" w:w="4700"/>
            <w:tcMar>
              <w:top w:type="dxa" w:w="80"/>
              <w:left w:type="dxa" w:w="100"/>
              <w:bottom w:type="dxa" w:w="80"/>
              <w:right w:type="dxa" w:w="100"/>
            </w:tcMar>
            <w:vAlign w:val="center"/>
          </w:tcPr>
          <w:p>
            <w:r>
              <w:rPr>
                <w:b w:val="false"/>
                <w:bCs w:val="false"/>
                <w:color w:val="000000"/>
                <w:sz w:val="20"/>
                <w:szCs w:val="20"/>
              </w:rPr>
              <w:t xml:space="preserve">Type-safe queries, first-class migration history (Section 27 — migration/versioning strategy), readable schema file that doubles as documentation.</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Cache / queue</w:t>
            </w:r>
          </w:p>
        </w:tc>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Redis + BullMQ</w:t>
            </w:r>
          </w:p>
        </w:tc>
        <w:tc>
          <w:tcPr>
            <w:tcW w:type="dxa" w:w="4700"/>
            <w:shd w:fill="F2F2F2" w:color="auto" w:val="clear"/>
            <w:tcMar>
              <w:top w:type="dxa" w:w="80"/>
              <w:left w:type="dxa" w:w="100"/>
              <w:bottom w:type="dxa" w:w="80"/>
              <w:right w:type="dxa" w:w="100"/>
            </w:tcMar>
            <w:vAlign w:val="center"/>
          </w:tcPr>
          <w:p>
            <w:r>
              <w:rPr>
                <w:b w:val="false"/>
                <w:bCs w:val="false"/>
                <w:color w:val="000000"/>
                <w:sz w:val="20"/>
                <w:szCs w:val="20"/>
              </w:rPr>
              <w:t xml:space="preserve">Backs the monthly reminder scheduler (Section 7.1), webhook retry queue, and rate-limited notification sending.</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Frontend</w:t>
            </w:r>
          </w:p>
        </w:tc>
        <w:tc>
          <w:tcPr>
            <w:tcW w:type="dxa" w:w="2600"/>
            <w:tcMar>
              <w:top w:type="dxa" w:w="80"/>
              <w:left w:type="dxa" w:w="100"/>
              <w:bottom w:type="dxa" w:w="80"/>
              <w:right w:type="dxa" w:w="100"/>
            </w:tcMar>
            <w:vAlign w:val="center"/>
          </w:tcPr>
          <w:p>
            <w:r>
              <w:rPr>
                <w:b w:val="false"/>
                <w:bCs w:val="false"/>
                <w:color w:val="000000"/>
                <w:sz w:val="20"/>
                <w:szCs w:val="20"/>
              </w:rPr>
              <w:t xml:space="preserve">React + TypeScript + Vite</w:t>
            </w:r>
          </w:p>
        </w:tc>
        <w:tc>
          <w:tcPr>
            <w:tcW w:type="dxa" w:w="4700"/>
            <w:tcMar>
              <w:top w:type="dxa" w:w="80"/>
              <w:left w:type="dxa" w:w="100"/>
              <w:bottom w:type="dxa" w:w="80"/>
              <w:right w:type="dxa" w:w="100"/>
            </w:tcMar>
            <w:vAlign w:val="center"/>
          </w:tcPr>
          <w:p>
            <w:r>
              <w:rPr>
                <w:b w:val="false"/>
                <w:bCs w:val="false"/>
                <w:color w:val="000000"/>
                <w:sz w:val="20"/>
                <w:szCs w:val="20"/>
              </w:rPr>
              <w:t xml:space="preserve">Single codebase serves both Member Portal and Admin Portal via role-gated routing; Vite gives fast local iteration for a solo dev.</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UI kit</w:t>
            </w:r>
          </w:p>
        </w:tc>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Tailwind CSS + shadcn/ui</w:t>
            </w:r>
          </w:p>
        </w:tc>
        <w:tc>
          <w:tcPr>
            <w:tcW w:type="dxa" w:w="4700"/>
            <w:shd w:fill="F2F2F2" w:color="auto" w:val="clear"/>
            <w:tcMar>
              <w:top w:type="dxa" w:w="80"/>
              <w:left w:type="dxa" w:w="100"/>
              <w:bottom w:type="dxa" w:w="80"/>
              <w:right w:type="dxa" w:w="100"/>
            </w:tcMar>
            <w:vAlign w:val="center"/>
          </w:tcPr>
          <w:p>
            <w:r>
              <w:rPr>
                <w:b w:val="false"/>
                <w:bCs w:val="false"/>
                <w:color w:val="000000"/>
                <w:sz w:val="20"/>
                <w:szCs w:val="20"/>
              </w:rPr>
              <w:t xml:space="preserve">Fast to build a responsive, consistent UI (Section 26 usability requirement) without hand-rolling components.</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State/data fetching</w:t>
            </w:r>
          </w:p>
        </w:tc>
        <w:tc>
          <w:tcPr>
            <w:tcW w:type="dxa" w:w="2600"/>
            <w:tcMar>
              <w:top w:type="dxa" w:w="80"/>
              <w:left w:type="dxa" w:w="100"/>
              <w:bottom w:type="dxa" w:w="80"/>
              <w:right w:type="dxa" w:w="100"/>
            </w:tcMar>
            <w:vAlign w:val="center"/>
          </w:tcPr>
          <w:p>
            <w:r>
              <w:rPr>
                <w:b w:val="false"/>
                <w:bCs w:val="false"/>
                <w:color w:val="000000"/>
                <w:sz w:val="20"/>
                <w:szCs w:val="20"/>
              </w:rPr>
              <w:t xml:space="preserve">TanStack Query + Zustand</w:t>
            </w:r>
          </w:p>
        </w:tc>
        <w:tc>
          <w:tcPr>
            <w:tcW w:type="dxa" w:w="4700"/>
            <w:tcMar>
              <w:top w:type="dxa" w:w="80"/>
              <w:left w:type="dxa" w:w="100"/>
              <w:bottom w:type="dxa" w:w="80"/>
              <w:right w:type="dxa" w:w="100"/>
            </w:tcMar>
            <w:vAlign w:val="center"/>
          </w:tcPr>
          <w:p>
            <w:r>
              <w:rPr>
                <w:b w:val="false"/>
                <w:bCs w:val="false"/>
                <w:color w:val="000000"/>
                <w:sz w:val="20"/>
                <w:szCs w:val="20"/>
              </w:rPr>
              <w:t xml:space="preserve">Handles server-state caching (dashboards, genealogy, passbook) and small client state (filters, auth) cleanly.</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Auth</w:t>
            </w:r>
          </w:p>
        </w:tc>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JWT (access + httpOnly refresh cookie) + Argon2 password hashing</w:t>
            </w:r>
          </w:p>
        </w:tc>
        <w:tc>
          <w:tcPr>
            <w:tcW w:type="dxa" w:w="4700"/>
            <w:shd w:fill="F2F2F2" w:color="auto" w:val="clear"/>
            <w:tcMar>
              <w:top w:type="dxa" w:w="80"/>
              <w:left w:type="dxa" w:w="100"/>
              <w:bottom w:type="dxa" w:w="80"/>
              <w:right w:type="dxa" w:w="100"/>
            </w:tcMar>
            <w:vAlign w:val="center"/>
          </w:tcPr>
          <w:p>
            <w:r>
              <w:rPr>
                <w:b w:val="false"/>
                <w:bCs w:val="false"/>
                <w:color w:val="000000"/>
                <w:sz w:val="20"/>
                <w:szCs w:val="20"/>
              </w:rPr>
              <w:t xml:space="preserve">Matches Section 19: secure salted hashing, secure session cookies, CSRF-safe when combined with SameSite cookies.</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Payment gateway</w:t>
            </w:r>
          </w:p>
        </w:tc>
        <w:tc>
          <w:tcPr>
            <w:tcW w:type="dxa" w:w="2600"/>
            <w:tcMar>
              <w:top w:type="dxa" w:w="80"/>
              <w:left w:type="dxa" w:w="100"/>
              <w:bottom w:type="dxa" w:w="80"/>
              <w:right w:type="dxa" w:w="100"/>
            </w:tcMar>
            <w:vAlign w:val="center"/>
          </w:tcPr>
          <w:p>
            <w:r>
              <w:rPr>
                <w:b w:val="false"/>
                <w:bCs w:val="false"/>
                <w:color w:val="000000"/>
                <w:sz w:val="20"/>
                <w:szCs w:val="20"/>
              </w:rPr>
              <w:t xml:space="preserve">Razorpay</w:t>
            </w:r>
          </w:p>
        </w:tc>
        <w:tc>
          <w:tcPr>
            <w:tcW w:type="dxa" w:w="4700"/>
            <w:tcMar>
              <w:top w:type="dxa" w:w="80"/>
              <w:left w:type="dxa" w:w="100"/>
              <w:bottom w:type="dxa" w:w="80"/>
              <w:right w:type="dxa" w:w="100"/>
            </w:tcMar>
            <w:vAlign w:val="center"/>
          </w:tcPr>
          <w:p>
            <w:r>
              <w:rPr>
                <w:b w:val="false"/>
                <w:bCs w:val="false"/>
                <w:color w:val="000000"/>
                <w:sz w:val="20"/>
                <w:szCs w:val="20"/>
              </w:rPr>
              <w:t xml:space="preserve">Strong INR/UPI support, signed webhooks (satisfies Section 8 verification + idempotency requirements), good Node SDK.</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Notifications</w:t>
            </w:r>
          </w:p>
        </w:tc>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MSG91 or Twilio (SMS) + Amazon SES (email)</w:t>
            </w:r>
          </w:p>
        </w:tc>
        <w:tc>
          <w:tcPr>
            <w:tcW w:type="dxa" w:w="4700"/>
            <w:shd w:fill="F2F2F2" w:color="auto" w:val="clear"/>
            <w:tcMar>
              <w:top w:type="dxa" w:w="80"/>
              <w:left w:type="dxa" w:w="100"/>
              <w:bottom w:type="dxa" w:w="80"/>
              <w:right w:type="dxa" w:w="100"/>
            </w:tcMar>
            <w:vAlign w:val="center"/>
          </w:tcPr>
          <w:p>
            <w:r>
              <w:rPr>
                <w:b w:val="false"/>
                <w:bCs w:val="false"/>
                <w:color w:val="000000"/>
                <w:sz w:val="20"/>
                <w:szCs w:val="20"/>
              </w:rPr>
              <w:t xml:space="preserve">Delivers welcome/OTP/reminder messages per Section 17 without storing plaintext passwords.</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File storage</w:t>
            </w:r>
          </w:p>
        </w:tc>
        <w:tc>
          <w:tcPr>
            <w:tcW w:type="dxa" w:w="2600"/>
            <w:tcMar>
              <w:top w:type="dxa" w:w="80"/>
              <w:left w:type="dxa" w:w="100"/>
              <w:bottom w:type="dxa" w:w="80"/>
              <w:right w:type="dxa" w:w="100"/>
            </w:tcMar>
            <w:vAlign w:val="center"/>
          </w:tcPr>
          <w:p>
            <w:r>
              <w:rPr>
                <w:b w:val="false"/>
                <w:bCs w:val="false"/>
                <w:color w:val="000000"/>
                <w:sz w:val="20"/>
                <w:szCs w:val="20"/>
              </w:rPr>
              <w:t xml:space="preserve">AWS S3 / Cloudflare R2</w:t>
            </w:r>
          </w:p>
        </w:tc>
        <w:tc>
          <w:tcPr>
            <w:tcW w:type="dxa" w:w="4700"/>
            <w:tcMar>
              <w:top w:type="dxa" w:w="80"/>
              <w:left w:type="dxa" w:w="100"/>
              <w:bottom w:type="dxa" w:w="80"/>
              <w:right w:type="dxa" w:w="100"/>
            </w:tcMar>
            <w:vAlign w:val="center"/>
          </w:tcPr>
          <w:p>
            <w:r>
              <w:rPr>
                <w:b w:val="false"/>
                <w:bCs w:val="false"/>
                <w:color w:val="000000"/>
                <w:sz w:val="20"/>
                <w:szCs w:val="20"/>
              </w:rPr>
              <w:t xml:space="preserve">Profile photos and KYC document uploads (Section 5), signed URLs keep sensitive files access-controlled.</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Hosting (MVP)</w:t>
            </w:r>
          </w:p>
        </w:tc>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Single VPS via Docker Compose (e.g. DigitalOcean/Hetzner) + managed Postgres</w:t>
            </w:r>
          </w:p>
        </w:tc>
        <w:tc>
          <w:tcPr>
            <w:tcW w:type="dxa" w:w="4700"/>
            <w:shd w:fill="F2F2F2" w:color="auto" w:val="clear"/>
            <w:tcMar>
              <w:top w:type="dxa" w:w="80"/>
              <w:left w:type="dxa" w:w="100"/>
              <w:bottom w:type="dxa" w:w="80"/>
              <w:right w:type="dxa" w:w="100"/>
            </w:tcMar>
            <w:vAlign w:val="center"/>
          </w:tcPr>
          <w:p>
            <w:r>
              <w:rPr>
                <w:b w:val="false"/>
                <w:bCs w:val="false"/>
                <w:color w:val="000000"/>
                <w:sz w:val="20"/>
                <w:szCs w:val="20"/>
              </w:rPr>
              <w:t xml:space="preserve">Cost-effective for launch; migrate to managed containers (ECS/Cloud Run) once traffic justifies it.</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Monitoring</w:t>
            </w:r>
          </w:p>
        </w:tc>
        <w:tc>
          <w:tcPr>
            <w:tcW w:type="dxa" w:w="2600"/>
            <w:tcMar>
              <w:top w:type="dxa" w:w="80"/>
              <w:left w:type="dxa" w:w="100"/>
              <w:bottom w:type="dxa" w:w="80"/>
              <w:right w:type="dxa" w:w="100"/>
            </w:tcMar>
            <w:vAlign w:val="center"/>
          </w:tcPr>
          <w:p>
            <w:r>
              <w:rPr>
                <w:b w:val="false"/>
                <w:bCs w:val="false"/>
                <w:color w:val="000000"/>
                <w:sz w:val="20"/>
                <w:szCs w:val="20"/>
              </w:rPr>
              <w:t xml:space="preserve">Sentry (errors) + UptimeRobot (uptime) + pg_dump automated backups</w:t>
            </w:r>
          </w:p>
        </w:tc>
        <w:tc>
          <w:tcPr>
            <w:tcW w:type="dxa" w:w="4700"/>
            <w:tcMar>
              <w:top w:type="dxa" w:w="80"/>
              <w:left w:type="dxa" w:w="100"/>
              <w:bottom w:type="dxa" w:w="80"/>
              <w:right w:type="dxa" w:w="100"/>
            </w:tcMar>
            <w:vAlign w:val="center"/>
          </w:tcPr>
          <w:p>
            <w:r>
              <w:rPr>
                <w:b w:val="false"/>
                <w:bCs w:val="false"/>
                <w:color w:val="000000"/>
                <w:sz w:val="20"/>
                <w:szCs w:val="20"/>
              </w:rPr>
              <w:t xml:space="preserve">Meets Section 27 operational requirements without a dedicated ops team.</w:t>
            </w:r>
          </w:p>
        </w:tc>
      </w:tr>
      <w:tr>
        <w:tc>
          <w:tcPr>
            <w:tcW w:type="dxa" w:w="2100"/>
            <w:shd w:fill="F2F2F2" w:color="auto" w:val="clear"/>
            <w:tcMar>
              <w:top w:type="dxa" w:w="80"/>
              <w:left w:type="dxa" w:w="100"/>
              <w:bottom w:type="dxa" w:w="80"/>
              <w:right w:type="dxa" w:w="100"/>
            </w:tcMar>
            <w:vAlign w:val="center"/>
          </w:tcPr>
          <w:p>
            <w:r>
              <w:rPr>
                <w:b w:val="false"/>
                <w:bCs w:val="false"/>
                <w:color w:val="000000"/>
                <w:sz w:val="20"/>
                <w:szCs w:val="20"/>
              </w:rPr>
              <w:t xml:space="preserve">CI/CD</w:t>
            </w:r>
          </w:p>
        </w:tc>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GitHub Actions</w:t>
            </w:r>
          </w:p>
        </w:tc>
        <w:tc>
          <w:tcPr>
            <w:tcW w:type="dxa" w:w="4700"/>
            <w:shd w:fill="F2F2F2" w:color="auto" w:val="clear"/>
            <w:tcMar>
              <w:top w:type="dxa" w:w="80"/>
              <w:left w:type="dxa" w:w="100"/>
              <w:bottom w:type="dxa" w:w="80"/>
              <w:right w:type="dxa" w:w="100"/>
            </w:tcMar>
            <w:vAlign w:val="center"/>
          </w:tcPr>
          <w:p>
            <w:r>
              <w:rPr>
                <w:b w:val="false"/>
                <w:bCs w:val="false"/>
                <w:color w:val="000000"/>
                <w:sz w:val="20"/>
                <w:szCs w:val="20"/>
              </w:rPr>
              <w:t xml:space="preserve">Lint → test → build → deploy pipeline; free for a solo dev on a private repo up to generous limits.</w:t>
            </w:r>
          </w:p>
        </w:tc>
      </w:tr>
    </w:tbl>
    <w:p>
      <w:pPr>
        <w:pStyle w:val="Heading1"/>
        <w:spacing w:after="160" w:before="360"/>
      </w:pPr>
      <w:r>
        <w:t xml:space="preserve">3. System Architecture</w:t>
      </w:r>
    </w:p>
    <w:p>
      <w:pPr>
        <w:spacing w:after="160"/>
      </w:pPr>
      <w:r>
        <w:t xml:space="preserve">The architecture mirrors Section 30 of the SRS, made concrete for the chosen stack. Both portals are one React application; the backend is one NestJS application internally split into the modules below, all talking to one PostgreSQL database.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Component</w:t>
            </w:r>
          </w:p>
        </w:tc>
        <w:tc>
          <w:tcPr>
            <w:tcW w:type="dxa" w:w="6800"/>
            <w:shd w:fill="1F3864" w:color="auto"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Member Web App (React)</w:t>
            </w:r>
          </w:p>
        </w:tc>
        <w:tc>
          <w:tcPr>
            <w:tcW w:type="dxa" w:w="6800"/>
            <w:tcMar>
              <w:top w:type="dxa" w:w="80"/>
              <w:left w:type="dxa" w:w="100"/>
              <w:bottom w:type="dxa" w:w="80"/>
              <w:right w:type="dxa" w:w="100"/>
            </w:tcMar>
            <w:vAlign w:val="center"/>
          </w:tcPr>
          <w:p>
            <w:r>
              <w:rPr>
                <w:b w:val="false"/>
                <w:bCs w:val="false"/>
                <w:color w:val="000000"/>
                <w:sz w:val="20"/>
                <w:szCs w:val="20"/>
              </w:rPr>
              <w:t xml:space="preserve">Registration, profile, genealogy tree, monthly payment, passbook (earnings/payouts), dashboard, notifications.</w:t>
            </w:r>
          </w:p>
        </w:tc>
      </w:tr>
      <w:tr>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Admin Web App (React, same codebase)</w:t>
            </w:r>
          </w:p>
        </w:tc>
        <w:tc>
          <w:tcPr>
            <w:tcW w:type="dxa" w:w="6800"/>
            <w:shd w:fill="F2F2F2" w:color="auto" w:val="clear"/>
            <w:tcMar>
              <w:top w:type="dxa" w:w="80"/>
              <w:left w:type="dxa" w:w="100"/>
              <w:bottom w:type="dxa" w:w="80"/>
              <w:right w:type="dxa" w:w="100"/>
            </w:tcMar>
            <w:vAlign w:val="center"/>
          </w:tcPr>
          <w:p>
            <w:r>
              <w:rPr>
                <w:b w:val="false"/>
                <w:bCs w:val="false"/>
                <w:color w:val="000000"/>
                <w:sz w:val="20"/>
                <w:szCs w:val="20"/>
              </w:rPr>
              <w:t xml:space="preserve">Member management, manual payment entry, commission rules, payout approval, announcements, reports, audit logs — gated by role.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API Gateway / NestJS App</w:t>
            </w:r>
          </w:p>
        </w:tc>
        <w:tc>
          <w:tcPr>
            <w:tcW w:type="dxa" w:w="6800"/>
            <w:tcMar>
              <w:top w:type="dxa" w:w="80"/>
              <w:left w:type="dxa" w:w="100"/>
              <w:bottom w:type="dxa" w:w="80"/>
              <w:right w:type="dxa" w:w="100"/>
            </w:tcMar>
            <w:vAlign w:val="center"/>
          </w:tcPr>
          <w:p>
            <w:r>
              <w:rPr>
                <w:b w:val="false"/>
                <w:bCs w:val="false"/>
                <w:color w:val="000000"/>
                <w:sz w:val="20"/>
                <w:szCs w:val="20"/>
              </w:rPr>
              <w:t xml:space="preserve">Single REST API; every route protected by JWT auth guard + RBAC guard; validates all input server-side (Section 19).</w:t>
            </w:r>
          </w:p>
        </w:tc>
      </w:tr>
      <w:tr>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Auth Module</w:t>
            </w:r>
          </w:p>
        </w:tc>
        <w:tc>
          <w:tcPr>
            <w:tcW w:type="dxa" w:w="6800"/>
            <w:shd w:fill="F2F2F2" w:color="auto" w:val="clear"/>
            <w:tcMar>
              <w:top w:type="dxa" w:w="80"/>
              <w:left w:type="dxa" w:w="100"/>
              <w:bottom w:type="dxa" w:w="80"/>
              <w:right w:type="dxa" w:w="100"/>
            </w:tcMar>
            <w:vAlign w:val="center"/>
          </w:tcPr>
          <w:p>
            <w:r>
              <w:rPr>
                <w:b w:val="false"/>
                <w:bCs w:val="false"/>
                <w:color w:val="000000"/>
                <w:sz w:val="20"/>
                <w:szCs w:val="20"/>
              </w:rPr>
              <w:t xml:space="preserve">Login, logout, password change/reset, session/token issuance, RBAC (roles_permissions).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Referral / Genealogy Module</w:t>
            </w:r>
          </w:p>
        </w:tc>
        <w:tc>
          <w:tcPr>
            <w:tcW w:type="dxa" w:w="6800"/>
            <w:tcMar>
              <w:top w:type="dxa" w:w="80"/>
              <w:left w:type="dxa" w:w="100"/>
              <w:bottom w:type="dxa" w:w="80"/>
              <w:right w:type="dxa" w:w="100"/>
            </w:tcMar>
            <w:vAlign w:val="center"/>
          </w:tcPr>
          <w:p>
            <w:r>
              <w:rPr>
                <w:b w:val="false"/>
                <w:bCs w:val="false"/>
                <w:color w:val="000000"/>
                <w:sz w:val="20"/>
                <w:szCs w:val="20"/>
              </w:rPr>
              <w:t xml:space="preserve">Sponsor validation, circular-reference prevention, recursive 10-level tree derivation from the self-referencing members table.</w:t>
            </w:r>
          </w:p>
        </w:tc>
      </w:tr>
      <w:tr>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Payment Module</w:t>
            </w:r>
          </w:p>
        </w:tc>
        <w:tc>
          <w:tcPr>
            <w:tcW w:type="dxa" w:w="6800"/>
            <w:shd w:fill="F2F2F2" w:color="auto" w:val="clear"/>
            <w:tcMar>
              <w:top w:type="dxa" w:w="80"/>
              <w:left w:type="dxa" w:w="100"/>
              <w:bottom w:type="dxa" w:w="80"/>
              <w:right w:type="dxa" w:w="100"/>
            </w:tcMar>
            <w:vAlign w:val="center"/>
          </w:tcPr>
          <w:p>
            <w:r>
              <w:rPr>
                <w:b w:val="false"/>
                <w:bCs w:val="false"/>
                <w:color w:val="000000"/>
                <w:sz w:val="20"/>
                <w:szCs w:val="20"/>
              </w:rPr>
              <w:t xml:space="preserve">Payment-plan rules, Razorpay order creation, webhook verification, manual payment entry, idempotency enforcement.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Commission Engine Module</w:t>
            </w:r>
          </w:p>
        </w:tc>
        <w:tc>
          <w:tcPr>
            <w:tcW w:type="dxa" w:w="6800"/>
            <w:tcMar>
              <w:top w:type="dxa" w:w="80"/>
              <w:left w:type="dxa" w:w="100"/>
              <w:bottom w:type="dxa" w:w="80"/>
              <w:right w:type="dxa" w:w="100"/>
            </w:tcMar>
            <w:vAlign w:val="center"/>
          </w:tcPr>
          <w:p>
            <w:r>
              <w:rPr>
                <w:b w:val="false"/>
                <w:bCs w:val="false"/>
                <w:color w:val="000000"/>
                <w:sz w:val="20"/>
                <w:szCs w:val="20"/>
              </w:rPr>
              <w:t xml:space="preserve">Walks the sponsor chain on each verified payment, writes immutable commission_ledger rows for Levels 2–10 using versioned commission_rules.</w:t>
            </w:r>
          </w:p>
        </w:tc>
      </w:tr>
      <w:tr>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Payout Module</w:t>
            </w:r>
          </w:p>
        </w:tc>
        <w:tc>
          <w:tcPr>
            <w:tcW w:type="dxa" w:w="6800"/>
            <w:shd w:fill="F2F2F2" w:color="auto" w:val="clear"/>
            <w:tcMar>
              <w:top w:type="dxa" w:w="80"/>
              <w:left w:type="dxa" w:w="100"/>
              <w:bottom w:type="dxa" w:w="80"/>
              <w:right w:type="dxa" w:w="100"/>
            </w:tcMar>
            <w:vAlign w:val="center"/>
          </w:tcPr>
          <w:p>
            <w:r>
              <w:rPr>
                <w:b w:val="false"/>
                <w:bCs w:val="false"/>
                <w:color w:val="000000"/>
                <w:sz w:val="20"/>
                <w:szCs w:val="20"/>
              </w:rPr>
              <w:t xml:space="preserve">Available-balance calculation from the ledger, payout request/approval workflow, payout ledger entries.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Notification Module</w:t>
            </w:r>
          </w:p>
        </w:tc>
        <w:tc>
          <w:tcPr>
            <w:tcW w:type="dxa" w:w="6800"/>
            <w:tcMar>
              <w:top w:type="dxa" w:w="80"/>
              <w:left w:type="dxa" w:w="100"/>
              <w:bottom w:type="dxa" w:w="80"/>
              <w:right w:type="dxa" w:w="100"/>
            </w:tcMar>
            <w:vAlign w:val="center"/>
          </w:tcPr>
          <w:p>
            <w:r>
              <w:rPr>
                <w:b w:val="false"/>
                <w:bCs w:val="false"/>
                <w:color w:val="000000"/>
                <w:sz w:val="20"/>
                <w:szCs w:val="20"/>
              </w:rPr>
              <w:t xml:space="preserve">Scheduled reminder jobs (BullMQ), transactional messages (SMS/email), in-app notifications and announcements.</w:t>
            </w:r>
          </w:p>
        </w:tc>
      </w:tr>
      <w:tr>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Audit Module</w:t>
            </w:r>
          </w:p>
        </w:tc>
        <w:tc>
          <w:tcPr>
            <w:tcW w:type="dxa" w:w="6800"/>
            <w:shd w:fill="F2F2F2" w:color="auto" w:val="clear"/>
            <w:tcMar>
              <w:top w:type="dxa" w:w="80"/>
              <w:left w:type="dxa" w:w="100"/>
              <w:bottom w:type="dxa" w:w="80"/>
              <w:right w:type="dxa" w:w="100"/>
            </w:tcMar>
            <w:vAlign w:val="center"/>
          </w:tcPr>
          <w:p>
            <w:r>
              <w:rPr>
                <w:b w:val="false"/>
                <w:bCs w:val="false"/>
                <w:color w:val="000000"/>
                <w:sz w:val="20"/>
                <w:szCs w:val="20"/>
              </w:rPr>
              <w:t xml:space="preserve">Cross-cutting interceptor that logs every sensitive read/write (KYC/bank view, admin edits, payouts) to audit_logs.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PostgreSQL</w:t>
            </w:r>
          </w:p>
        </w:tc>
        <w:tc>
          <w:tcPr>
            <w:tcW w:type="dxa" w:w="6800"/>
            <w:tcMar>
              <w:top w:type="dxa" w:w="80"/>
              <w:left w:type="dxa" w:w="100"/>
              <w:bottom w:type="dxa" w:w="80"/>
              <w:right w:type="dxa" w:w="100"/>
            </w:tcMar>
            <w:vAlign w:val="center"/>
          </w:tcPr>
          <w:p>
            <w:r>
              <w:rPr>
                <w:b w:val="false"/>
                <w:bCs w:val="false"/>
                <w:color w:val="000000"/>
                <w:sz w:val="20"/>
                <w:szCs w:val="20"/>
              </w:rPr>
              <w:t xml:space="preserve">Single source of truth: members/sponsors, payments, commission ledger, payouts, audit logs — all in one ACID-transactional store.</w:t>
            </w:r>
          </w:p>
        </w:tc>
      </w:tr>
      <w:tr>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Redis</w:t>
            </w:r>
          </w:p>
        </w:tc>
        <w:tc>
          <w:tcPr>
            <w:tcW w:type="dxa" w:w="6800"/>
            <w:shd w:fill="F2F2F2" w:color="auto" w:val="clear"/>
            <w:tcMar>
              <w:top w:type="dxa" w:w="80"/>
              <w:left w:type="dxa" w:w="100"/>
              <w:bottom w:type="dxa" w:w="80"/>
              <w:right w:type="dxa" w:w="100"/>
            </w:tcMar>
            <w:vAlign w:val="center"/>
          </w:tcPr>
          <w:p>
            <w:r>
              <w:rPr>
                <w:b w:val="false"/>
                <w:bCs w:val="false"/>
                <w:color w:val="000000"/>
                <w:sz w:val="20"/>
                <w:szCs w:val="20"/>
              </w:rPr>
              <w:t xml:space="preserve">Job queue for reminders/webhook retries + short-lived cache for dashboard aggregates.</w:t>
            </w:r>
          </w:p>
        </w:tc>
      </w:tr>
    </w:tbl>
    <w:p>
      <w:pPr>
        <w:pStyle w:val="Heading2"/>
        <w:spacing w:after="120" w:before="260"/>
      </w:pPr>
      <w:r>
        <w:t xml:space="preserve">3.1 Request Flow Example — Online Payment to Commission</w:t>
      </w:r>
    </w:p>
    <w:p>
      <w:pPr>
        <w:pStyle w:val="ListParagraph"/>
        <w:numPr>
          <w:ilvl w:val="0"/>
          <w:numId w:val="3"/>
        </w:numPr>
        <w:spacing w:after="80"/>
      </w:pPr>
      <w:r>
        <w:t xml:space="preserve">Member submits a payment amount from an authenticated session (server reads Member ID from the JWT, never from the request body).</w:t>
      </w:r>
    </w:p>
    <w:p>
      <w:pPr>
        <w:pStyle w:val="ListParagraph"/>
        <w:numPr>
          <w:ilvl w:val="0"/>
          <w:numId w:val="3"/>
        </w:numPr>
        <w:spacing w:after="80"/>
      </w:pPr>
      <w:r>
        <w:t xml:space="preserve">Backend validates the amount against the member's stored payment_plans row and creates a Razorpay order.</w:t>
      </w:r>
    </w:p>
    <w:p>
      <w:pPr>
        <w:pStyle w:val="ListParagraph"/>
        <w:numPr>
          <w:ilvl w:val="0"/>
          <w:numId w:val="3"/>
        </w:numPr>
        <w:spacing w:after="80"/>
      </w:pPr>
      <w:r>
        <w:t xml:space="preserve">Razorpay redirects/webhooks back; backend verifies the webhook signature and checks the transaction ID has not been processed before (idempotency).</w:t>
      </w:r>
    </w:p>
    <w:p>
      <w:pPr>
        <w:pStyle w:val="ListParagraph"/>
        <w:numPr>
          <w:ilvl w:val="0"/>
          <w:numId w:val="3"/>
        </w:numPr>
        <w:spacing w:after="80"/>
      </w:pPr>
      <w:r>
        <w:t xml:space="preserve">On verified success, a row is written to payments (status = SUCCESS) inside a database transaction.</w:t>
      </w:r>
    </w:p>
    <w:p>
      <w:pPr>
        <w:pStyle w:val="ListParagraph"/>
        <w:numPr>
          <w:ilvl w:val="0"/>
          <w:numId w:val="3"/>
        </w:numPr>
        <w:spacing w:after="80"/>
      </w:pPr>
      <w:r>
        <w:t xml:space="preserve">The Commission Engine is triggered (synchronously in the same transaction, or via an outbox event) and walks the sponsor chain up to Level 10, inserting one commission_ledger row per eligible beneficiary level.</w:t>
      </w:r>
    </w:p>
    <w:p>
      <w:pPr>
        <w:pStyle w:val="ListParagraph"/>
        <w:numPr>
          <w:ilvl w:val="0"/>
          <w:numId w:val="3"/>
        </w:numPr>
        <w:spacing w:after="80"/>
      </w:pPr>
      <w:r>
        <w:t xml:space="preserve">Notification Module enqueues a payment-confirmation message to the payer and commission-credited messages to beneficiaries.</w:t>
      </w:r>
    </w:p>
    <w:p>
      <w:pPr>
        <w:pStyle w:val="ListParagraph"/>
        <w:numPr>
          <w:ilvl w:val="0"/>
          <w:numId w:val="3"/>
        </w:numPr>
        <w:spacing w:after="80"/>
      </w:pPr>
      <w:r>
        <w:t xml:space="preserve">Passbook and dashboard reads are pure aggregations over payments / commission_ledger / payouts — no balance field is ever written directly.</w:t>
      </w:r>
    </w:p>
    <w:p>
      <w:pPr>
        <w:pStyle w:val="Heading1"/>
        <w:spacing w:after="160" w:before="360"/>
      </w:pPr>
      <w:r>
        <w:t xml:space="preserve">4. Database Design</w:t>
      </w:r>
    </w:p>
    <w:p>
      <w:pPr>
        <w:spacing w:after="160"/>
      </w:pPr>
      <w:r>
        <w:t xml:space="preserve">The full script is delivered separately as schema.sql (PostgreSQL, ready to run with `psql -f schema.sql` or via Prisma migrate). It implements every entity from SRS Section 18 plus the supporting tables ledger-integrity and audit requirements imply. Summary below; see the file for exact columns, types, constraints and indexes.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600"/>
      </w:tblGrid>
      <w:tr>
        <w:trPr>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Table</w:t>
            </w:r>
          </w:p>
        </w:tc>
        <w:tc>
          <w:tcPr>
            <w:tcW w:type="dxa" w:w="3400"/>
            <w:shd w:fill="1F3864" w:color="auto" w:val="clear"/>
            <w:tcMar>
              <w:top w:type="dxa" w:w="80"/>
              <w:left w:type="dxa" w:w="100"/>
              <w:bottom w:type="dxa" w:w="80"/>
              <w:right w:type="dxa" w:w="100"/>
            </w:tcMar>
            <w:vAlign w:val="center"/>
          </w:tcPr>
          <w:p>
            <w:r>
              <w:rPr>
                <w:b/>
                <w:bCs/>
                <w:color w:val="FFFFFF"/>
                <w:sz w:val="20"/>
                <w:szCs w:val="20"/>
              </w:rPr>
              <w:t xml:space="preserve">Purpose</w:t>
            </w:r>
          </w:p>
        </w:tc>
        <w:tc>
          <w:tcPr>
            <w:tcW w:type="dxa" w:w="3600"/>
            <w:shd w:fill="1F3864" w:color="auto" w:val="clear"/>
            <w:tcMar>
              <w:top w:type="dxa" w:w="80"/>
              <w:left w:type="dxa" w:w="100"/>
              <w:bottom w:type="dxa" w:w="80"/>
              <w:right w:type="dxa" w:w="100"/>
            </w:tcMar>
            <w:vAlign w:val="center"/>
          </w:tcPr>
          <w:p>
            <w:r>
              <w:rPr>
                <w:b/>
                <w:bCs/>
                <w:color w:val="FFFFFF"/>
                <w:sz w:val="20"/>
                <w:szCs w:val="20"/>
              </w:rPr>
              <w:t xml:space="preserve">Key Design Notes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members</w:t>
            </w:r>
          </w:p>
        </w:tc>
        <w:tc>
          <w:tcPr>
            <w:tcW w:type="dxa" w:w="3400"/>
            <w:tcMar>
              <w:top w:type="dxa" w:w="80"/>
              <w:left w:type="dxa" w:w="100"/>
              <w:bottom w:type="dxa" w:w="80"/>
              <w:right w:type="dxa" w:w="100"/>
            </w:tcMar>
            <w:vAlign w:val="center"/>
          </w:tcPr>
          <w:p>
            <w:r>
              <w:rPr>
                <w:b w:val="false"/>
                <w:bCs w:val="false"/>
                <w:color w:val="000000"/>
                <w:sz w:val="20"/>
                <w:szCs w:val="20"/>
              </w:rPr>
              <w:t xml:space="preserve">Identity + sponsor relationship + status</w:t>
            </w:r>
          </w:p>
        </w:tc>
        <w:tc>
          <w:tcPr>
            <w:tcW w:type="dxa" w:w="3600"/>
            <w:tcMar>
              <w:top w:type="dxa" w:w="80"/>
              <w:left w:type="dxa" w:w="100"/>
              <w:bottom w:type="dxa" w:w="80"/>
              <w:right w:type="dxa" w:w="100"/>
            </w:tcMar>
            <w:vAlign w:val="center"/>
          </w:tcPr>
          <w:p>
            <w:r>
              <w:rPr>
                <w:b w:val="false"/>
                <w:bCs w:val="false"/>
                <w:color w:val="000000"/>
                <w:sz w:val="20"/>
                <w:szCs w:val="20"/>
              </w:rPr>
              <w:t xml:space="preserve">sponsor_id is a self-referencing FK to members.id; member_code (A000001…) is unique and generated, never user-editable.</w:t>
            </w:r>
          </w:p>
        </w:tc>
      </w:tr>
      <w:tr>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member_profiles</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DOB, address, photo</w:t>
            </w:r>
          </w:p>
        </w:tc>
        <w:tc>
          <w:tcPr>
            <w:tcW w:type="dxa" w:w="3600"/>
            <w:shd w:fill="F2F2F2" w:color="auto" w:val="clear"/>
            <w:tcMar>
              <w:top w:type="dxa" w:w="80"/>
              <w:left w:type="dxa" w:w="100"/>
              <w:bottom w:type="dxa" w:w="80"/>
              <w:right w:type="dxa" w:w="100"/>
            </w:tcMar>
            <w:vAlign w:val="center"/>
          </w:tcPr>
          <w:p>
            <w:r>
              <w:rPr>
                <w:b w:val="false"/>
                <w:bCs w:val="false"/>
                <w:color w:val="000000"/>
                <w:sz w:val="20"/>
                <w:szCs w:val="20"/>
              </w:rPr>
              <w:t xml:space="preserve">1:1 with members.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member_kyc</w:t>
            </w:r>
          </w:p>
        </w:tc>
        <w:tc>
          <w:tcPr>
            <w:tcW w:type="dxa" w:w="3400"/>
            <w:tcMar>
              <w:top w:type="dxa" w:w="80"/>
              <w:left w:type="dxa" w:w="100"/>
              <w:bottom w:type="dxa" w:w="80"/>
              <w:right w:type="dxa" w:w="100"/>
            </w:tcMar>
            <w:vAlign w:val="center"/>
          </w:tcPr>
          <w:p>
            <w:r>
              <w:rPr>
                <w:b w:val="false"/>
                <w:bCs w:val="false"/>
                <w:color w:val="000000"/>
                <w:sz w:val="20"/>
                <w:szCs w:val="20"/>
              </w:rPr>
              <w:t xml:space="preserve">Aadhaar/PAN + verification state</w:t>
            </w:r>
          </w:p>
        </w:tc>
        <w:tc>
          <w:tcPr>
            <w:tcW w:type="dxa" w:w="3600"/>
            <w:tcMar>
              <w:top w:type="dxa" w:w="80"/>
              <w:left w:type="dxa" w:w="100"/>
              <w:bottom w:type="dxa" w:w="80"/>
              <w:right w:type="dxa" w:w="100"/>
            </w:tcMar>
            <w:vAlign w:val="center"/>
          </w:tcPr>
          <w:p>
            <w:r>
              <w:rPr>
                <w:b w:val="false"/>
                <w:bCs w:val="false"/>
                <w:color w:val="000000"/>
                <w:sz w:val="20"/>
                <w:szCs w:val="20"/>
              </w:rPr>
              <w:t xml:space="preserve">Values stored encrypted (pgcrypto or app-level AES-256); display layer masks by default.</w:t>
            </w:r>
          </w:p>
        </w:tc>
      </w:tr>
      <w:tr>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member_bank_details</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Bank/branch/account/IFSC</w:t>
            </w:r>
          </w:p>
        </w:tc>
        <w:tc>
          <w:tcPr>
            <w:tcW w:type="dxa" w:w="3600"/>
            <w:shd w:fill="F2F2F2" w:color="auto" w:val="clear"/>
            <w:tcMar>
              <w:top w:type="dxa" w:w="80"/>
              <w:left w:type="dxa" w:w="100"/>
              <w:bottom w:type="dxa" w:w="80"/>
              <w:right w:type="dxa" w:w="100"/>
            </w:tcMar>
            <w:vAlign w:val="center"/>
          </w:tcPr>
          <w:p>
            <w:r>
              <w:rPr>
                <w:b w:val="false"/>
                <w:bCs w:val="false"/>
                <w:color w:val="000000"/>
                <w:sz w:val="20"/>
                <w:szCs w:val="20"/>
              </w:rPr>
              <w:t xml:space="preserve">Account number encrypted; masked in all list views.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nominees</w:t>
            </w:r>
          </w:p>
        </w:tc>
        <w:tc>
          <w:tcPr>
            <w:tcW w:type="dxa" w:w="3400"/>
            <w:tcMar>
              <w:top w:type="dxa" w:w="80"/>
              <w:left w:type="dxa" w:w="100"/>
              <w:bottom w:type="dxa" w:w="80"/>
              <w:right w:type="dxa" w:w="100"/>
            </w:tcMar>
            <w:vAlign w:val="center"/>
          </w:tcPr>
          <w:p>
            <w:r>
              <w:rPr>
                <w:b w:val="false"/>
                <w:bCs w:val="false"/>
                <w:color w:val="000000"/>
                <w:sz w:val="20"/>
                <w:szCs w:val="20"/>
              </w:rPr>
              <w:t xml:space="preserve">Nominee details</w:t>
            </w:r>
          </w:p>
        </w:tc>
        <w:tc>
          <w:tcPr>
            <w:tcW w:type="dxa" w:w="3600"/>
            <w:tcMar>
              <w:top w:type="dxa" w:w="80"/>
              <w:left w:type="dxa" w:w="100"/>
              <w:bottom w:type="dxa" w:w="80"/>
              <w:right w:type="dxa" w:w="100"/>
            </w:tcMar>
            <w:vAlign w:val="center"/>
          </w:tcPr>
          <w:p>
            <w:r>
              <w:rPr>
                <w:b w:val="false"/>
                <w:bCs w:val="false"/>
                <w:color w:val="000000"/>
                <w:sz w:val="20"/>
                <w:szCs w:val="20"/>
              </w:rPr>
              <w:t xml:space="preserve">1:1 or 1:many with members.</w:t>
            </w:r>
          </w:p>
        </w:tc>
      </w:tr>
      <w:tr>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payment_plans</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Committed monthly amount + history</w:t>
            </w:r>
          </w:p>
        </w:tc>
        <w:tc>
          <w:tcPr>
            <w:tcW w:type="dxa" w:w="3600"/>
            <w:shd w:fill="F2F2F2" w:color="auto" w:val="clear"/>
            <w:tcMar>
              <w:top w:type="dxa" w:w="80"/>
              <w:left w:type="dxa" w:w="100"/>
              <w:bottom w:type="dxa" w:w="80"/>
              <w:right w:type="dxa" w:w="100"/>
            </w:tcMar>
            <w:vAlign w:val="center"/>
          </w:tcPr>
          <w:p>
            <w:r>
              <w:rPr>
                <w:b w:val="false"/>
                <w:bCs w:val="false"/>
                <w:color w:val="000000"/>
                <w:sz w:val="20"/>
                <w:szCs w:val="20"/>
              </w:rPr>
              <w:t xml:space="preserve">Append-only history table — a plan change inserts a new row with effective_from rather than updating in place.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payments</w:t>
            </w:r>
          </w:p>
        </w:tc>
        <w:tc>
          <w:tcPr>
            <w:tcW w:type="dxa" w:w="3400"/>
            <w:tcMar>
              <w:top w:type="dxa" w:w="80"/>
              <w:left w:type="dxa" w:w="100"/>
              <w:bottom w:type="dxa" w:w="80"/>
              <w:right w:type="dxa" w:w="100"/>
            </w:tcMar>
            <w:vAlign w:val="center"/>
          </w:tcPr>
          <w:p>
            <w:r>
              <w:rPr>
                <w:b w:val="false"/>
                <w:bCs w:val="false"/>
                <w:color w:val="000000"/>
                <w:sz w:val="20"/>
                <w:szCs w:val="20"/>
              </w:rPr>
              <w:t xml:space="preserve">Every payment attempt/result</w:t>
            </w:r>
          </w:p>
        </w:tc>
        <w:tc>
          <w:tcPr>
            <w:tcW w:type="dxa" w:w="3600"/>
            <w:tcMar>
              <w:top w:type="dxa" w:w="80"/>
              <w:left w:type="dxa" w:w="100"/>
              <w:bottom w:type="dxa" w:w="80"/>
              <w:right w:type="dxa" w:w="100"/>
            </w:tcMar>
            <w:vAlign w:val="center"/>
          </w:tcPr>
          <w:p>
            <w:r>
              <w:rPr>
                <w:b w:val="false"/>
                <w:bCs w:val="false"/>
                <w:color w:val="000000"/>
                <w:sz w:val="20"/>
                <w:szCs w:val="20"/>
              </w:rPr>
              <w:t xml:space="preserve">status enum (initiated/pending/success/failed/cancelled/refunded); unique constraint on gateway transaction_id prevents duplicates.</w:t>
            </w:r>
          </w:p>
        </w:tc>
      </w:tr>
      <w:tr>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payment_gateway_transactions</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Raw gateway/webhook payloads</w:t>
            </w:r>
          </w:p>
        </w:tc>
        <w:tc>
          <w:tcPr>
            <w:tcW w:type="dxa" w:w="3600"/>
            <w:shd w:fill="F2F2F2" w:color="auto" w:val="clear"/>
            <w:tcMar>
              <w:top w:type="dxa" w:w="80"/>
              <w:left w:type="dxa" w:w="100"/>
              <w:bottom w:type="dxa" w:w="80"/>
              <w:right w:type="dxa" w:w="100"/>
            </w:tcMar>
            <w:vAlign w:val="center"/>
          </w:tcPr>
          <w:p>
            <w:r>
              <w:rPr>
                <w:b w:val="false"/>
                <w:bCs w:val="false"/>
                <w:color w:val="000000"/>
                <w:sz w:val="20"/>
                <w:szCs w:val="20"/>
              </w:rPr>
              <w:t xml:space="preserve">1:1 with payments; keeps raw response for dispute resolution without polluting the core payments table.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commission_rules</w:t>
            </w:r>
          </w:p>
        </w:tc>
        <w:tc>
          <w:tcPr>
            <w:tcW w:type="dxa" w:w="3400"/>
            <w:tcMar>
              <w:top w:type="dxa" w:w="80"/>
              <w:left w:type="dxa" w:w="100"/>
              <w:bottom w:type="dxa" w:w="80"/>
              <w:right w:type="dxa" w:w="100"/>
            </w:tcMar>
            <w:vAlign w:val="center"/>
          </w:tcPr>
          <w:p>
            <w:r>
              <w:rPr>
                <w:b w:val="false"/>
                <w:bCs w:val="false"/>
                <w:color w:val="000000"/>
                <w:sz w:val="20"/>
                <w:szCs w:val="20"/>
              </w:rPr>
              <w:t xml:space="preserve">Versioned Level 2–10 rates</w:t>
            </w:r>
          </w:p>
        </w:tc>
        <w:tc>
          <w:tcPr>
            <w:tcW w:type="dxa" w:w="3600"/>
            <w:tcMar>
              <w:top w:type="dxa" w:w="80"/>
              <w:left w:type="dxa" w:w="100"/>
              <w:bottom w:type="dxa" w:w="80"/>
              <w:right w:type="dxa" w:w="100"/>
            </w:tcMar>
            <w:vAlign w:val="center"/>
          </w:tcPr>
          <w:p>
            <w:r>
              <w:rPr>
                <w:b w:val="false"/>
                <w:bCs w:val="false"/>
                <w:color w:val="000000"/>
                <w:sz w:val="20"/>
                <w:szCs w:val="20"/>
              </w:rPr>
              <w:t xml:space="preserve">effective_from/effective_to columns so historical commissions remain calculable exactly as they were paid, even if rates change later.</w:t>
            </w:r>
          </w:p>
        </w:tc>
      </w:tr>
      <w:tr>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commission_ledger</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One immutable row per beneficiary per payment</w:t>
            </w:r>
          </w:p>
        </w:tc>
        <w:tc>
          <w:tcPr>
            <w:tcW w:type="dxa" w:w="3600"/>
            <w:shd w:fill="F2F2F2" w:color="auto" w:val="clear"/>
            <w:tcMar>
              <w:top w:type="dxa" w:w="80"/>
              <w:left w:type="dxa" w:w="100"/>
              <w:bottom w:type="dxa" w:w="80"/>
              <w:right w:type="dxa" w:w="100"/>
            </w:tcMar>
            <w:vAlign w:val="center"/>
          </w:tcPr>
          <w:p>
            <w:r>
              <w:rPr>
                <w:b w:val="false"/>
                <w:bCs w:val="false"/>
                <w:color w:val="000000"/>
                <w:sz w:val="20"/>
                <w:szCs w:val="20"/>
              </w:rPr>
              <w:t xml:space="preserve">References source payment, beneficiary member, level, rate applied, base amount, computed amount; reversal rows reference the original row rather than mutating it.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payouts</w:t>
            </w:r>
          </w:p>
        </w:tc>
        <w:tc>
          <w:tcPr>
            <w:tcW w:type="dxa" w:w="3400"/>
            <w:tcMar>
              <w:top w:type="dxa" w:w="80"/>
              <w:left w:type="dxa" w:w="100"/>
              <w:bottom w:type="dxa" w:w="80"/>
              <w:right w:type="dxa" w:w="100"/>
            </w:tcMar>
            <w:vAlign w:val="center"/>
          </w:tcPr>
          <w:p>
            <w:r>
              <w:rPr>
                <w:b w:val="false"/>
                <w:bCs w:val="false"/>
                <w:color w:val="000000"/>
                <w:sz w:val="20"/>
                <w:szCs w:val="20"/>
              </w:rPr>
              <w:t xml:space="preserve">Payout requests/transactions</w:t>
            </w:r>
          </w:p>
        </w:tc>
        <w:tc>
          <w:tcPr>
            <w:tcW w:type="dxa" w:w="3600"/>
            <w:tcMar>
              <w:top w:type="dxa" w:w="80"/>
              <w:left w:type="dxa" w:w="100"/>
              <w:bottom w:type="dxa" w:w="80"/>
              <w:right w:type="dxa" w:w="100"/>
            </w:tcMar>
            <w:vAlign w:val="center"/>
          </w:tcPr>
          <w:p>
            <w:r>
              <w:rPr>
                <w:b w:val="false"/>
                <w:bCs w:val="false"/>
                <w:color w:val="000000"/>
                <w:sz w:val="20"/>
                <w:szCs w:val="20"/>
              </w:rPr>
              <w:t xml:space="preserve">status workflow Pending → Approved → Processing → Paid / Rejected / Cancelled.</w:t>
            </w:r>
          </w:p>
        </w:tc>
      </w:tr>
      <w:tr>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notifications</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Per-member notification log</w:t>
            </w:r>
          </w:p>
        </w:tc>
        <w:tc>
          <w:tcPr>
            <w:tcW w:type="dxa" w:w="3600"/>
            <w:shd w:fill="F2F2F2" w:color="auto" w:val="clear"/>
            <w:tcMar>
              <w:top w:type="dxa" w:w="80"/>
              <w:left w:type="dxa" w:w="100"/>
              <w:bottom w:type="dxa" w:w="80"/>
              <w:right w:type="dxa" w:w="100"/>
            </w:tcMar>
            <w:vAlign w:val="center"/>
          </w:tcPr>
          <w:p>
            <w:r>
              <w:rPr>
                <w:b w:val="false"/>
                <w:bCs w:val="false"/>
                <w:color w:val="000000"/>
                <w:sz w:val="20"/>
                <w:szCs w:val="20"/>
              </w:rPr>
              <w:t xml:space="preserve">channel + status (queued/sent/failed) for delivery tracing.</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announcements</w:t>
            </w:r>
          </w:p>
        </w:tc>
        <w:tc>
          <w:tcPr>
            <w:tcW w:type="dxa" w:w="3400"/>
            <w:tcMar>
              <w:top w:type="dxa" w:w="80"/>
              <w:left w:type="dxa" w:w="100"/>
              <w:bottom w:type="dxa" w:w="80"/>
              <w:right w:type="dxa" w:w="100"/>
            </w:tcMar>
            <w:vAlign w:val="center"/>
          </w:tcPr>
          <w:p>
            <w:r>
              <w:rPr>
                <w:b w:val="false"/>
                <w:bCs w:val="false"/>
                <w:color w:val="000000"/>
                <w:sz w:val="20"/>
                <w:szCs w:val="20"/>
              </w:rPr>
              <w:t xml:space="preserve">Admin broadcasts</w:t>
            </w:r>
          </w:p>
        </w:tc>
        <w:tc>
          <w:tcPr>
            <w:tcW w:type="dxa" w:w="3600"/>
            <w:tcMar>
              <w:top w:type="dxa" w:w="80"/>
              <w:left w:type="dxa" w:w="100"/>
              <w:bottom w:type="dxa" w:w="80"/>
              <w:right w:type="dxa" w:w="100"/>
            </w:tcMar>
            <w:vAlign w:val="center"/>
          </w:tcPr>
          <w:p>
            <w:r>
              <w:rPr>
                <w:b w:val="false"/>
                <w:bCs w:val="false"/>
                <w:color w:val="000000"/>
                <w:sz w:val="20"/>
                <w:szCs w:val="20"/>
              </w:rPr>
              <w:t xml:space="preserve">publish_date/expiry_date drive visibility without deleting old announcements.</w:t>
            </w:r>
          </w:p>
        </w:tc>
      </w:tr>
      <w:tr>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admin_users</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Staff accounts</w:t>
            </w:r>
          </w:p>
        </w:tc>
        <w:tc>
          <w:tcPr>
            <w:tcW w:type="dxa" w:w="3600"/>
            <w:shd w:fill="F2F2F2" w:color="auto" w:val="clear"/>
            <w:tcMar>
              <w:top w:type="dxa" w:w="80"/>
              <w:left w:type="dxa" w:w="100"/>
              <w:bottom w:type="dxa" w:w="80"/>
              <w:right w:type="dxa" w:w="100"/>
            </w:tcMar>
            <w:vAlign w:val="center"/>
          </w:tcPr>
          <w:p>
            <w:r>
              <w:rPr>
                <w:b w:val="false"/>
                <w:bCs w:val="false"/>
                <w:color w:val="000000"/>
                <w:sz w:val="20"/>
                <w:szCs w:val="20"/>
              </w:rPr>
              <w:t xml:space="preserve">Separate table from members — admins are never members and vice versa.</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roles → permissions → role_permissions</w:t>
            </w:r>
          </w:p>
        </w:tc>
        <w:tc>
          <w:tcPr>
            <w:tcW w:type="dxa" w:w="3400"/>
            <w:tcMar>
              <w:top w:type="dxa" w:w="80"/>
              <w:left w:type="dxa" w:w="100"/>
              <w:bottom w:type="dxa" w:w="80"/>
              <w:right w:type="dxa" w:w="100"/>
            </w:tcMar>
            <w:vAlign w:val="center"/>
          </w:tcPr>
          <w:p>
            <w:r>
              <w:rPr>
                <w:b w:val="false"/>
                <w:bCs w:val="false"/>
                <w:color w:val="000000"/>
                <w:sz w:val="20"/>
                <w:szCs w:val="20"/>
              </w:rPr>
              <w:t xml:space="preserve">RBAC</w:t>
            </w:r>
          </w:p>
        </w:tc>
        <w:tc>
          <w:tcPr>
            <w:tcW w:type="dxa" w:w="3600"/>
            <w:tcMar>
              <w:top w:type="dxa" w:w="80"/>
              <w:left w:type="dxa" w:w="100"/>
              <w:bottom w:type="dxa" w:w="80"/>
              <w:right w:type="dxa" w:w="100"/>
            </w:tcMar>
            <w:vAlign w:val="center"/>
          </w:tcPr>
          <w:p>
            <w:r>
              <w:rPr>
                <w:b w:val="false"/>
                <w:bCs w:val="false"/>
                <w:color w:val="000000"/>
                <w:sz w:val="20"/>
                <w:szCs w:val="20"/>
              </w:rPr>
              <w:t xml:space="preserve">Normalized many-to-many so new roles/permissions don't require code changes.</w:t>
            </w:r>
          </w:p>
        </w:tc>
      </w:tr>
      <w:tr>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audit_logs</w:t>
            </w:r>
          </w:p>
        </w:tc>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Every sensitive action</w:t>
            </w:r>
          </w:p>
        </w:tc>
        <w:tc>
          <w:tcPr>
            <w:tcW w:type="dxa" w:w="3600"/>
            <w:shd w:fill="F2F2F2" w:color="auto" w:val="clear"/>
            <w:tcMar>
              <w:top w:type="dxa" w:w="80"/>
              <w:left w:type="dxa" w:w="100"/>
              <w:bottom w:type="dxa" w:w="80"/>
              <w:right w:type="dxa" w:w="100"/>
            </w:tcMar>
            <w:vAlign w:val="center"/>
          </w:tcPr>
          <w:p>
            <w:r>
              <w:rPr>
                <w:b w:val="false"/>
                <w:bCs w:val="false"/>
                <w:color w:val="000000"/>
                <w:sz w:val="20"/>
                <w:szCs w:val="20"/>
              </w:rPr>
              <w:t xml:space="preserve">actor type/id, action, entity, before/after snapshot, IP, timestamp — append-only, never updated or deleted.</w:t>
            </w:r>
          </w:p>
        </w:tc>
      </w:tr>
    </w:tbl>
    <w:p>
      <w:pPr>
        <w:pStyle w:val="Heading2"/>
        <w:spacing w:after="120" w:before="260"/>
      </w:pPr>
      <w:r>
        <w:t xml:space="preserve">4.1 Why a Recursive CTE Instead of a Materialized Tree</w:t>
      </w:r>
    </w:p>
    <w:p>
      <w:pPr>
        <w:spacing w:after="160"/>
      </w:pPr>
      <w:r>
        <w:t xml:space="preserve">Because the SRS forbids a fixed matrix and requires unlimited direct referrals (Sections 2, 6, 21), the genealogy is derived, not stored. A recursive Common Table Expression starting from a member's id and following sponsor_id up to 10 levels deep gives the full downline in one indexed query. An index on (sponsor_id) plus a depth cap in the query (WHERE level &lt;= 10) keeps this fast even for large networks; a nightly materialized view can be added later purely as a performance optimization if dashboards get slow — never as the source of truth.</w:t>
      </w:r>
    </w:p>
    <w:p>
      <w:pPr>
        <w:pStyle w:val="Heading1"/>
        <w:spacing w:after="160" w:before="360"/>
      </w:pPr>
      <w:r>
        <w:t xml:space="preserve">5. Repository &amp; Folder Structure</w:t>
      </w:r>
    </w:p>
    <w:p>
      <w:pPr>
        <w:spacing w:after="160"/>
      </w:pPr>
      <w:r>
        <w:t xml:space="preserve">A starter scaffold implementing this structure is provided alongside this guide.</w:t>
      </w:r>
    </w:p>
    <w:p>
      <w:pPr>
        <w:spacing w:after="20"/>
      </w:pPr>
      <w:r>
        <w:rPr>
          <w:rFonts w:ascii="Consolas" w:cs="Consolas" w:eastAsia="Consolas" w:hAnsi="Consolas"/>
          <w:sz w:val="18"/>
          <w:szCs w:val="18"/>
        </w:rPr>
        <w:t xml:space="preserve">legends-mlm/</w:t>
      </w:r>
    </w:p>
    <w:p>
      <w:pPr>
        <w:spacing w:after="20"/>
      </w:pPr>
      <w:r>
        <w:rPr>
          <w:rFonts w:ascii="Consolas" w:cs="Consolas" w:eastAsia="Consolas" w:hAnsi="Consolas"/>
          <w:sz w:val="18"/>
          <w:szCs w:val="18"/>
        </w:rPr>
        <w:t xml:space="preserve">├─ backend/                 NestJS API</w:t>
      </w:r>
    </w:p>
    <w:p>
      <w:pPr>
        <w:spacing w:after="20"/>
      </w:pPr>
      <w:r>
        <w:rPr>
          <w:rFonts w:ascii="Consolas" w:cs="Consolas" w:eastAsia="Consolas" w:hAnsi="Consolas"/>
          <w:sz w:val="18"/>
          <w:szCs w:val="18"/>
        </w:rPr>
        <w:t xml:space="preserve">│  ├─ src/</w:t>
      </w:r>
    </w:p>
    <w:p>
      <w:pPr>
        <w:spacing w:after="20"/>
      </w:pPr>
      <w:r>
        <w:rPr>
          <w:rFonts w:ascii="Consolas" w:cs="Consolas" w:eastAsia="Consolas" w:hAnsi="Consolas"/>
          <w:sz w:val="18"/>
          <w:szCs w:val="18"/>
        </w:rPr>
        <w:t xml:space="preserve">│  │  ├─ auth/            login, tokens, guards, RBAC</w:t>
      </w:r>
    </w:p>
    <w:p>
      <w:pPr>
        <w:spacing w:after="20"/>
      </w:pPr>
      <w:r>
        <w:rPr>
          <w:rFonts w:ascii="Consolas" w:cs="Consolas" w:eastAsia="Consolas" w:hAnsi="Consolas"/>
          <w:sz w:val="18"/>
          <w:szCs w:val="18"/>
        </w:rPr>
        <w:t xml:space="preserve">│  │  ├─ members/         registration, profile, KYC, bank</w:t>
      </w:r>
    </w:p>
    <w:p>
      <w:pPr>
        <w:spacing w:after="20"/>
      </w:pPr>
      <w:r>
        <w:rPr>
          <w:rFonts w:ascii="Consolas" w:cs="Consolas" w:eastAsia="Consolas" w:hAnsi="Consolas"/>
          <w:sz w:val="18"/>
          <w:szCs w:val="18"/>
        </w:rPr>
        <w:t xml:space="preserve">│  │  ├─ referral/        sponsor validation, genealogy</w:t>
      </w:r>
    </w:p>
    <w:p>
      <w:pPr>
        <w:spacing w:after="20"/>
      </w:pPr>
      <w:r>
        <w:rPr>
          <w:rFonts w:ascii="Consolas" w:cs="Consolas" w:eastAsia="Consolas" w:hAnsi="Consolas"/>
          <w:sz w:val="18"/>
          <w:szCs w:val="18"/>
        </w:rPr>
        <w:t xml:space="preserve">│  │  ├─ payments/        plans, gateway, manual entry</w:t>
      </w:r>
    </w:p>
    <w:p>
      <w:pPr>
        <w:spacing w:after="20"/>
      </w:pPr>
      <w:r>
        <w:rPr>
          <w:rFonts w:ascii="Consolas" w:cs="Consolas" w:eastAsia="Consolas" w:hAnsi="Consolas"/>
          <w:sz w:val="18"/>
          <w:szCs w:val="18"/>
        </w:rPr>
        <w:t xml:space="preserve">│  │  ├─ commission/      engine, rules, ledger</w:t>
      </w:r>
    </w:p>
    <w:p>
      <w:pPr>
        <w:spacing w:after="20"/>
      </w:pPr>
      <w:r>
        <w:rPr>
          <w:rFonts w:ascii="Consolas" w:cs="Consolas" w:eastAsia="Consolas" w:hAnsi="Consolas"/>
          <w:sz w:val="18"/>
          <w:szCs w:val="18"/>
        </w:rPr>
        <w:t xml:space="preserve">│  │  ├─ payouts/         balance, workflow</w:t>
      </w:r>
    </w:p>
    <w:p>
      <w:pPr>
        <w:spacing w:after="20"/>
      </w:pPr>
      <w:r>
        <w:rPr>
          <w:rFonts w:ascii="Consolas" w:cs="Consolas" w:eastAsia="Consolas" w:hAnsi="Consolas"/>
          <w:sz w:val="18"/>
          <w:szCs w:val="18"/>
        </w:rPr>
        <w:t xml:space="preserve">│  │  ├─ notifications/   templates, scheduler, channels</w:t>
      </w:r>
    </w:p>
    <w:p>
      <w:pPr>
        <w:spacing w:after="20"/>
      </w:pPr>
      <w:r>
        <w:rPr>
          <w:rFonts w:ascii="Consolas" w:cs="Consolas" w:eastAsia="Consolas" w:hAnsi="Consolas"/>
          <w:sz w:val="18"/>
          <w:szCs w:val="18"/>
        </w:rPr>
        <w:t xml:space="preserve">│  │  ├─ announcements/</w:t>
      </w:r>
    </w:p>
    <w:p>
      <w:pPr>
        <w:spacing w:after="20"/>
      </w:pPr>
      <w:r>
        <w:rPr>
          <w:rFonts w:ascii="Consolas" w:cs="Consolas" w:eastAsia="Consolas" w:hAnsi="Consolas"/>
          <w:sz w:val="18"/>
          <w:szCs w:val="18"/>
        </w:rPr>
        <w:t xml:space="preserve">│  │  ├─ admin/           reports, audit, exports</w:t>
      </w:r>
    </w:p>
    <w:p>
      <w:pPr>
        <w:spacing w:after="20"/>
      </w:pPr>
      <w:r>
        <w:rPr>
          <w:rFonts w:ascii="Consolas" w:cs="Consolas" w:eastAsia="Consolas" w:hAnsi="Consolas"/>
          <w:sz w:val="18"/>
          <w:szCs w:val="18"/>
        </w:rPr>
        <w:t xml:space="preserve">│  │  ├─ audit/           cross-cutting logging interceptor</w:t>
      </w:r>
    </w:p>
    <w:p>
      <w:pPr>
        <w:spacing w:after="20"/>
      </w:pPr>
      <w:r>
        <w:rPr>
          <w:rFonts w:ascii="Consolas" w:cs="Consolas" w:eastAsia="Consolas" w:hAnsi="Consolas"/>
          <w:sz w:val="18"/>
          <w:szCs w:val="18"/>
        </w:rPr>
        <w:t xml:space="preserve">│  │  └─ common/          guards, pipes, decorators, filters</w:t>
      </w:r>
    </w:p>
    <w:p>
      <w:pPr>
        <w:spacing w:after="20"/>
      </w:pPr>
      <w:r>
        <w:rPr>
          <w:rFonts w:ascii="Consolas" w:cs="Consolas" w:eastAsia="Consolas" w:hAnsi="Consolas"/>
          <w:sz w:val="18"/>
          <w:szCs w:val="18"/>
        </w:rPr>
        <w:t xml:space="preserve">│  └─ prisma/             schema.prisma, migrations/</w:t>
      </w:r>
    </w:p>
    <w:p>
      <w:pPr>
        <w:spacing w:after="20"/>
      </w:pPr>
      <w:r>
        <w:rPr>
          <w:rFonts w:ascii="Consolas" w:cs="Consolas" w:eastAsia="Consolas" w:hAnsi="Consolas"/>
          <w:sz w:val="18"/>
          <w:szCs w:val="18"/>
        </w:rPr>
        <w:t xml:space="preserve">├─ frontend/                React + Vite</w:t>
      </w:r>
    </w:p>
    <w:p>
      <w:pPr>
        <w:spacing w:after="20"/>
      </w:pPr>
      <w:r>
        <w:rPr>
          <w:rFonts w:ascii="Consolas" w:cs="Consolas" w:eastAsia="Consolas" w:hAnsi="Consolas"/>
          <w:sz w:val="18"/>
          <w:szCs w:val="18"/>
        </w:rPr>
        <w:t xml:space="preserve">│  └─ src/</w:t>
      </w:r>
    </w:p>
    <w:p>
      <w:pPr>
        <w:spacing w:after="20"/>
      </w:pPr>
      <w:r>
        <w:rPr>
          <w:rFonts w:ascii="Consolas" w:cs="Consolas" w:eastAsia="Consolas" w:hAnsi="Consolas"/>
          <w:sz w:val="18"/>
          <w:szCs w:val="18"/>
        </w:rPr>
        <w:t xml:space="preserve">│     ├─ portals/member/</w:t>
      </w:r>
    </w:p>
    <w:p>
      <w:pPr>
        <w:spacing w:after="20"/>
      </w:pPr>
      <w:r>
        <w:rPr>
          <w:rFonts w:ascii="Consolas" w:cs="Consolas" w:eastAsia="Consolas" w:hAnsi="Consolas"/>
          <w:sz w:val="18"/>
          <w:szCs w:val="18"/>
        </w:rPr>
        <w:t xml:space="preserve">│     ├─ portals/admin/</w:t>
      </w:r>
    </w:p>
    <w:p>
      <w:pPr>
        <w:spacing w:after="20"/>
      </w:pPr>
      <w:r>
        <w:rPr>
          <w:rFonts w:ascii="Consolas" w:cs="Consolas" w:eastAsia="Consolas" w:hAnsi="Consolas"/>
          <w:sz w:val="18"/>
          <w:szCs w:val="18"/>
        </w:rPr>
        <w:t xml:space="preserve">│     ├─ components/         shared UI</w:t>
      </w:r>
    </w:p>
    <w:p>
      <w:pPr>
        <w:spacing w:after="20"/>
      </w:pPr>
      <w:r>
        <w:rPr>
          <w:rFonts w:ascii="Consolas" w:cs="Consolas" w:eastAsia="Consolas" w:hAnsi="Consolas"/>
          <w:sz w:val="18"/>
          <w:szCs w:val="18"/>
        </w:rPr>
        <w:t xml:space="preserve">│     └─ lib/                api client, auth store</w:t>
      </w:r>
    </w:p>
    <w:p>
      <w:pPr>
        <w:spacing w:after="20"/>
      </w:pPr>
      <w:r>
        <w:rPr>
          <w:rFonts w:ascii="Consolas" w:cs="Consolas" w:eastAsia="Consolas" w:hAnsi="Consolas"/>
          <w:sz w:val="18"/>
          <w:szCs w:val="18"/>
        </w:rPr>
        <w:t xml:space="preserve">├─ docs/                    this guide, schema.sql, business-rules.md</w:t>
      </w:r>
    </w:p>
    <w:p>
      <w:pPr>
        <w:spacing w:after="20"/>
      </w:pPr>
      <w:r>
        <w:rPr>
          <w:rFonts w:ascii="Consolas" w:cs="Consolas" w:eastAsia="Consolas" w:hAnsi="Consolas"/>
          <w:sz w:val="18"/>
          <w:szCs w:val="18"/>
        </w:rPr>
        <w:t xml:space="preserve">└─ docker-compose.yml       postgres + redis + api + web (local dev)</w:t>
      </w:r>
    </w:p>
    <w:p>
      <w:pPr>
        <w:spacing w:after="200"/>
      </w:pPr>
    </w:p>
    <w:p>
      <w:pPr>
        <w:pStyle w:val="Heading1"/>
        <w:spacing w:after="160" w:before="360"/>
      </w:pPr>
      <w:r>
        <w:t xml:space="preserve">6. Development Roadmap</w:t>
      </w:r>
    </w:p>
    <w:p>
      <w:pPr>
        <w:spacing w:after="160"/>
      </w:pPr>
      <w:r>
        <w:t xml:space="preserve">Sequenced for a solo developer, full-time. Each phase builds on the previous one and produces something demoable. Adjust pace to your availability — the order matters more than the exact week numbers.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400"/>
      </w:tblGrid>
      <w:tr>
        <w:trPr>
          <w:tblHeader/>
        </w:trPr>
        <w:tc>
          <w:tcPr>
            <w:tcW w:type="dxa" w:w="3400"/>
            <w:shd w:fill="1F3864" w:color="auto" w:val="clear"/>
            <w:tcMar>
              <w:top w:type="dxa" w:w="80"/>
              <w:left w:type="dxa" w:w="100"/>
              <w:bottom w:type="dxa" w:w="80"/>
              <w:right w:type="dxa" w:w="100"/>
            </w:tcMar>
            <w:vAlign w:val="center"/>
          </w:tcPr>
          <w:p>
            <w:r>
              <w:rPr>
                <w:b/>
                <w:bCs/>
                <w:color w:val="FFFFFF"/>
                <w:sz w:val="20"/>
                <w:szCs w:val="20"/>
              </w:rPr>
              <w:t xml:space="preserve">Phase</w:t>
            </w:r>
          </w:p>
        </w:tc>
        <w:tc>
          <w:tcPr>
            <w:tcW w:type="dxa" w:w="1400"/>
            <w:shd w:fill="1F3864" w:color="auto" w:val="clear"/>
            <w:tcMar>
              <w:top w:type="dxa" w:w="80"/>
              <w:left w:type="dxa" w:w="100"/>
              <w:bottom w:type="dxa" w:w="80"/>
              <w:right w:type="dxa" w:w="100"/>
            </w:tcMar>
            <w:vAlign w:val="center"/>
          </w:tcPr>
          <w:p>
            <w:r>
              <w:rPr>
                <w:b/>
                <w:bCs/>
                <w:color w:val="FFFFFF"/>
                <w:sz w:val="20"/>
                <w:szCs w:val="20"/>
              </w:rPr>
              <w:t xml:space="preserve">Weeks</w:t>
            </w:r>
          </w:p>
        </w:tc>
        <w:tc>
          <w:tcPr>
            <w:tcW w:type="dxa" w:w="4400"/>
            <w:shd w:fill="1F3864" w:color="auto" w:val="clear"/>
            <w:tcMar>
              <w:top w:type="dxa" w:w="80"/>
              <w:left w:type="dxa" w:w="100"/>
              <w:bottom w:type="dxa" w:w="80"/>
              <w:right w:type="dxa" w:w="100"/>
            </w:tcMar>
            <w:vAlign w:val="center"/>
          </w:tcPr>
          <w:p>
            <w:r>
              <w:rPr>
                <w:b/>
                <w:bCs/>
                <w:color w:val="FFFFFF"/>
                <w:sz w:val="20"/>
                <w:szCs w:val="20"/>
              </w:rPr>
              <w:t xml:space="preserve">Deliverable</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0. Business rules sign-off</w:t>
            </w:r>
          </w:p>
        </w:tc>
        <w:tc>
          <w:tcPr>
            <w:tcW w:type="dxa" w:w="1400"/>
            <w:tcMar>
              <w:top w:type="dxa" w:w="80"/>
              <w:left w:type="dxa" w:w="100"/>
              <w:bottom w:type="dxa" w:w="80"/>
              <w:right w:type="dxa" w:w="100"/>
            </w:tcMar>
            <w:vAlign w:val="center"/>
          </w:tcPr>
          <w:p>
            <w:r>
              <w:rPr>
                <w:b w:val="false"/>
                <w:bCs w:val="false"/>
                <w:color w:val="000000"/>
                <w:sz w:val="20"/>
                <w:szCs w:val="20"/>
              </w:rPr>
              <w:t xml:space="preserve">1</w:t>
            </w:r>
          </w:p>
        </w:tc>
        <w:tc>
          <w:tcPr>
            <w:tcW w:type="dxa" w:w="4400"/>
            <w:tcMar>
              <w:top w:type="dxa" w:w="80"/>
              <w:left w:type="dxa" w:w="100"/>
              <w:bottom w:type="dxa" w:w="80"/>
              <w:right w:type="dxa" w:w="100"/>
            </w:tcMar>
            <w:vAlign w:val="center"/>
          </w:tcPr>
          <w:p>
            <w:r>
              <w:rPr>
                <w:b w:val="false"/>
                <w:bCs w:val="false"/>
                <w:color w:val="000000"/>
                <w:sz w:val="20"/>
                <w:szCs w:val="20"/>
              </w:rPr>
              <w:t xml:space="preserve">Answers to Section 1 of this guide, written down and versioned.</w:t>
            </w:r>
          </w:p>
        </w:tc>
      </w:tr>
      <w:tr>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1. Project setup</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1–2</w:t>
            </w:r>
          </w:p>
        </w:tc>
        <w:tc>
          <w:tcPr>
            <w:tcW w:type="dxa" w:w="4400"/>
            <w:shd w:fill="F2F2F2" w:color="auto" w:val="clear"/>
            <w:tcMar>
              <w:top w:type="dxa" w:w="80"/>
              <w:left w:type="dxa" w:w="100"/>
              <w:bottom w:type="dxa" w:w="80"/>
              <w:right w:type="dxa" w:w="100"/>
            </w:tcMar>
            <w:vAlign w:val="center"/>
          </w:tcPr>
          <w:p>
            <w:r>
              <w:rPr>
                <w:b w:val="false"/>
                <w:bCs w:val="false"/>
                <w:color w:val="000000"/>
                <w:sz w:val="20"/>
                <w:szCs w:val="20"/>
              </w:rPr>
              <w:t xml:space="preserve">Repo, Docker Compose (Postgres+Redis), NestJS + React skeletons, CI pipeline, env config.</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2. Database schema &amp; migrations</w:t>
            </w:r>
          </w:p>
        </w:tc>
        <w:tc>
          <w:tcPr>
            <w:tcW w:type="dxa" w:w="1400"/>
            <w:tcMar>
              <w:top w:type="dxa" w:w="80"/>
              <w:left w:type="dxa" w:w="100"/>
              <w:bottom w:type="dxa" w:w="80"/>
              <w:right w:type="dxa" w:w="100"/>
            </w:tcMar>
            <w:vAlign w:val="center"/>
          </w:tcPr>
          <w:p>
            <w:r>
              <w:rPr>
                <w:b w:val="false"/>
                <w:bCs w:val="false"/>
                <w:color w:val="000000"/>
                <w:sz w:val="20"/>
                <w:szCs w:val="20"/>
              </w:rPr>
              <w:t xml:space="preserve">2–3</w:t>
            </w:r>
          </w:p>
        </w:tc>
        <w:tc>
          <w:tcPr>
            <w:tcW w:type="dxa" w:w="4400"/>
            <w:tcMar>
              <w:top w:type="dxa" w:w="80"/>
              <w:left w:type="dxa" w:w="100"/>
              <w:bottom w:type="dxa" w:w="80"/>
              <w:right w:type="dxa" w:w="100"/>
            </w:tcMar>
            <w:vAlign w:val="center"/>
          </w:tcPr>
          <w:p>
            <w:r>
              <w:rPr>
                <w:b w:val="false"/>
                <w:bCs w:val="false"/>
                <w:color w:val="000000"/>
                <w:sz w:val="20"/>
                <w:szCs w:val="20"/>
              </w:rPr>
              <w:t xml:space="preserve">schema.sql / Prisma schema applied; seed script for an initial root member.</w:t>
            </w:r>
          </w:p>
        </w:tc>
      </w:tr>
      <w:tr>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3. Auth &amp; RBAC</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3–4</w:t>
            </w:r>
          </w:p>
        </w:tc>
        <w:tc>
          <w:tcPr>
            <w:tcW w:type="dxa" w:w="4400"/>
            <w:shd w:fill="F2F2F2" w:color="auto" w:val="clear"/>
            <w:tcMar>
              <w:top w:type="dxa" w:w="80"/>
              <w:left w:type="dxa" w:w="100"/>
              <w:bottom w:type="dxa" w:w="80"/>
              <w:right w:type="dxa" w:w="100"/>
            </w:tcMar>
            <w:vAlign w:val="center"/>
          </w:tcPr>
          <w:p>
            <w:r>
              <w:rPr>
                <w:b w:val="false"/>
                <w:bCs w:val="false"/>
                <w:color w:val="000000"/>
                <w:sz w:val="20"/>
                <w:szCs w:val="20"/>
              </w:rPr>
              <w:t xml:space="preserve">Login, JWT + refresh cookies, password hashing, role/permission guards.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4. Registration &amp; sponsor validation</w:t>
            </w:r>
          </w:p>
        </w:tc>
        <w:tc>
          <w:tcPr>
            <w:tcW w:type="dxa" w:w="1400"/>
            <w:tcMar>
              <w:top w:type="dxa" w:w="80"/>
              <w:left w:type="dxa" w:w="100"/>
              <w:bottom w:type="dxa" w:w="80"/>
              <w:right w:type="dxa" w:w="100"/>
            </w:tcMar>
            <w:vAlign w:val="center"/>
          </w:tcPr>
          <w:p>
            <w:r>
              <w:rPr>
                <w:b w:val="false"/>
                <w:bCs w:val="false"/>
                <w:color w:val="000000"/>
                <w:sz w:val="20"/>
                <w:szCs w:val="20"/>
              </w:rPr>
              <w:t xml:space="preserve">4–5</w:t>
            </w:r>
          </w:p>
        </w:tc>
        <w:tc>
          <w:tcPr>
            <w:tcW w:type="dxa" w:w="4400"/>
            <w:tcMar>
              <w:top w:type="dxa" w:w="80"/>
              <w:left w:type="dxa" w:w="100"/>
              <w:bottom w:type="dxa" w:w="80"/>
              <w:right w:type="dxa" w:w="100"/>
            </w:tcMar>
            <w:vAlign w:val="center"/>
          </w:tcPr>
          <w:p>
            <w:r>
              <w:rPr>
                <w:b w:val="false"/>
                <w:bCs w:val="false"/>
                <w:color w:val="000000"/>
                <w:sz w:val="20"/>
                <w:szCs w:val="20"/>
              </w:rPr>
              <w:t xml:space="preserve">Referral link → sponsor lookup → registration → Member ID generation → credential delivery.</w:t>
            </w:r>
          </w:p>
        </w:tc>
      </w:tr>
      <w:tr>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5. Member profile &amp; sensitive data</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5–6</w:t>
            </w:r>
          </w:p>
        </w:tc>
        <w:tc>
          <w:tcPr>
            <w:tcW w:type="dxa" w:w="4400"/>
            <w:shd w:fill="F2F2F2" w:color="auto" w:val="clear"/>
            <w:tcMar>
              <w:top w:type="dxa" w:w="80"/>
              <w:left w:type="dxa" w:w="100"/>
              <w:bottom w:type="dxa" w:w="80"/>
              <w:right w:type="dxa" w:w="100"/>
            </w:tcMar>
            <w:vAlign w:val="center"/>
          </w:tcPr>
          <w:p>
            <w:r>
              <w:rPr>
                <w:b w:val="false"/>
                <w:bCs w:val="false"/>
                <w:color w:val="000000"/>
                <w:sz w:val="20"/>
                <w:szCs w:val="20"/>
              </w:rPr>
              <w:t xml:space="preserve">Profile, KYC, bank, nominee CRUD; masking + encryption + access logging.</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6. Genealogy engine</w:t>
            </w:r>
          </w:p>
        </w:tc>
        <w:tc>
          <w:tcPr>
            <w:tcW w:type="dxa" w:w="1400"/>
            <w:tcMar>
              <w:top w:type="dxa" w:w="80"/>
              <w:left w:type="dxa" w:w="100"/>
              <w:bottom w:type="dxa" w:w="80"/>
              <w:right w:type="dxa" w:w="100"/>
            </w:tcMar>
            <w:vAlign w:val="center"/>
          </w:tcPr>
          <w:p>
            <w:r>
              <w:rPr>
                <w:b w:val="false"/>
                <w:bCs w:val="false"/>
                <w:color w:val="000000"/>
                <w:sz w:val="20"/>
                <w:szCs w:val="20"/>
              </w:rPr>
              <w:t xml:space="preserve">6–7</w:t>
            </w:r>
          </w:p>
        </w:tc>
        <w:tc>
          <w:tcPr>
            <w:tcW w:type="dxa" w:w="4400"/>
            <w:tcMar>
              <w:top w:type="dxa" w:w="80"/>
              <w:left w:type="dxa" w:w="100"/>
              <w:bottom w:type="dxa" w:w="80"/>
              <w:right w:type="dxa" w:w="100"/>
            </w:tcMar>
            <w:vAlign w:val="center"/>
          </w:tcPr>
          <w:p>
            <w:r>
              <w:rPr>
                <w:b w:val="false"/>
                <w:bCs w:val="false"/>
                <w:color w:val="000000"/>
                <w:sz w:val="20"/>
                <w:szCs w:val="20"/>
              </w:rPr>
              <w:t xml:space="preserve">Recursive sponsor-chain query, expandable tree UI, circular-reference prevention.</w:t>
            </w:r>
          </w:p>
        </w:tc>
      </w:tr>
      <w:tr>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7. Payment plan &amp; monthly logic</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7–8</w:t>
            </w:r>
          </w:p>
        </w:tc>
        <w:tc>
          <w:tcPr>
            <w:tcW w:type="dxa" w:w="4400"/>
            <w:shd w:fill="F2F2F2" w:color="auto" w:val="clear"/>
            <w:tcMar>
              <w:top w:type="dxa" w:w="80"/>
              <w:left w:type="dxa" w:w="100"/>
              <w:bottom w:type="dxa" w:w="80"/>
              <w:right w:type="dxa" w:w="100"/>
            </w:tcMar>
            <w:vAlign w:val="center"/>
          </w:tcPr>
          <w:p>
            <w:r>
              <w:rPr>
                <w:b w:val="false"/>
                <w:bCs w:val="false"/>
                <w:color w:val="000000"/>
                <w:sz w:val="20"/>
                <w:szCs w:val="20"/>
              </w:rPr>
              <w:t xml:space="preserve">Plan creation on first payment, ₹1,000-multiple validation, recurring-amount lock.</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8. Online payment gateway</w:t>
            </w:r>
          </w:p>
        </w:tc>
        <w:tc>
          <w:tcPr>
            <w:tcW w:type="dxa" w:w="1400"/>
            <w:tcMar>
              <w:top w:type="dxa" w:w="80"/>
              <w:left w:type="dxa" w:w="100"/>
              <w:bottom w:type="dxa" w:w="80"/>
              <w:right w:type="dxa" w:w="100"/>
            </w:tcMar>
            <w:vAlign w:val="center"/>
          </w:tcPr>
          <w:p>
            <w:r>
              <w:rPr>
                <w:b w:val="false"/>
                <w:bCs w:val="false"/>
                <w:color w:val="000000"/>
                <w:sz w:val="20"/>
                <w:szCs w:val="20"/>
              </w:rPr>
              <w:t xml:space="preserve">8–9</w:t>
            </w:r>
          </w:p>
        </w:tc>
        <w:tc>
          <w:tcPr>
            <w:tcW w:type="dxa" w:w="4400"/>
            <w:tcMar>
              <w:top w:type="dxa" w:w="80"/>
              <w:left w:type="dxa" w:w="100"/>
              <w:bottom w:type="dxa" w:w="80"/>
              <w:right w:type="dxa" w:w="100"/>
            </w:tcMar>
            <w:vAlign w:val="center"/>
          </w:tcPr>
          <w:p>
            <w:r>
              <w:rPr>
                <w:b w:val="false"/>
                <w:bCs w:val="false"/>
                <w:color w:val="000000"/>
                <w:sz w:val="20"/>
                <w:szCs w:val="20"/>
              </w:rPr>
              <w:t xml:space="preserve">Razorpay order + webhook verification, idempotent success recording, receipts.</w:t>
            </w:r>
          </w:p>
        </w:tc>
      </w:tr>
      <w:tr>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9. Manual payment (admin)</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9–10</w:t>
            </w:r>
          </w:p>
        </w:tc>
        <w:tc>
          <w:tcPr>
            <w:tcW w:type="dxa" w:w="4400"/>
            <w:shd w:fill="F2F2F2" w:color="auto" w:val="clear"/>
            <w:tcMar>
              <w:top w:type="dxa" w:w="80"/>
              <w:left w:type="dxa" w:w="100"/>
              <w:bottom w:type="dxa" w:w="80"/>
              <w:right w:type="dxa" w:w="100"/>
            </w:tcMar>
            <w:vAlign w:val="center"/>
          </w:tcPr>
          <w:p>
            <w:r>
              <w:rPr>
                <w:b w:val="false"/>
                <w:bCs w:val="false"/>
                <w:color w:val="000000"/>
                <w:sz w:val="20"/>
                <w:szCs w:val="20"/>
              </w:rPr>
              <w:t xml:space="preserve">Admin entry by Member ID, appears in history + Advance Paid.</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10. Commission engine &amp; ledger</w:t>
            </w:r>
          </w:p>
        </w:tc>
        <w:tc>
          <w:tcPr>
            <w:tcW w:type="dxa" w:w="1400"/>
            <w:tcMar>
              <w:top w:type="dxa" w:w="80"/>
              <w:left w:type="dxa" w:w="100"/>
              <w:bottom w:type="dxa" w:w="80"/>
              <w:right w:type="dxa" w:w="100"/>
            </w:tcMar>
            <w:vAlign w:val="center"/>
          </w:tcPr>
          <w:p>
            <w:r>
              <w:rPr>
                <w:b w:val="false"/>
                <w:bCs w:val="false"/>
                <w:color w:val="000000"/>
                <w:sz w:val="20"/>
                <w:szCs w:val="20"/>
              </w:rPr>
              <w:t xml:space="preserve">10–12</w:t>
            </w:r>
          </w:p>
        </w:tc>
        <w:tc>
          <w:tcPr>
            <w:tcW w:type="dxa" w:w="4400"/>
            <w:tcMar>
              <w:top w:type="dxa" w:w="80"/>
              <w:left w:type="dxa" w:w="100"/>
              <w:bottom w:type="dxa" w:w="80"/>
              <w:right w:type="dxa" w:w="100"/>
            </w:tcMar>
            <w:vAlign w:val="center"/>
          </w:tcPr>
          <w:p>
            <w:r>
              <w:rPr>
                <w:b w:val="false"/>
                <w:bCs w:val="false"/>
                <w:color w:val="000000"/>
                <w:sz w:val="20"/>
                <w:szCs w:val="20"/>
              </w:rPr>
              <w:t xml:space="preserve">Sponsor-chain walk, Level 2–10 calculation, immutable ledger, reversal support.</w:t>
            </w:r>
          </w:p>
        </w:tc>
      </w:tr>
      <w:tr>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11. Passbook</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12–13</w:t>
            </w:r>
          </w:p>
        </w:tc>
        <w:tc>
          <w:tcPr>
            <w:tcW w:type="dxa" w:w="4400"/>
            <w:shd w:fill="F2F2F2" w:color="auto" w:val="clear"/>
            <w:tcMar>
              <w:top w:type="dxa" w:w="80"/>
              <w:left w:type="dxa" w:w="100"/>
              <w:bottom w:type="dxa" w:w="80"/>
              <w:right w:type="dxa" w:w="100"/>
            </w:tcMar>
            <w:vAlign w:val="center"/>
          </w:tcPr>
          <w:p>
            <w:r>
              <w:rPr>
                <w:b w:val="false"/>
                <w:bCs w:val="false"/>
                <w:color w:val="000000"/>
                <w:sz w:val="20"/>
                <w:szCs w:val="20"/>
              </w:rPr>
              <w:t xml:space="preserve">Earnings/Payouts sub-pages with date/level/source/status filters.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12. Payout workflow</w:t>
            </w:r>
          </w:p>
        </w:tc>
        <w:tc>
          <w:tcPr>
            <w:tcW w:type="dxa" w:w="1400"/>
            <w:tcMar>
              <w:top w:type="dxa" w:w="80"/>
              <w:left w:type="dxa" w:w="100"/>
              <w:bottom w:type="dxa" w:w="80"/>
              <w:right w:type="dxa" w:w="100"/>
            </w:tcMar>
            <w:vAlign w:val="center"/>
          </w:tcPr>
          <w:p>
            <w:r>
              <w:rPr>
                <w:b w:val="false"/>
                <w:bCs w:val="false"/>
                <w:color w:val="000000"/>
                <w:sz w:val="20"/>
                <w:szCs w:val="20"/>
              </w:rPr>
              <w:t xml:space="preserve">13–14</w:t>
            </w:r>
          </w:p>
        </w:tc>
        <w:tc>
          <w:tcPr>
            <w:tcW w:type="dxa" w:w="4400"/>
            <w:tcMar>
              <w:top w:type="dxa" w:w="80"/>
              <w:left w:type="dxa" w:w="100"/>
              <w:bottom w:type="dxa" w:w="80"/>
              <w:right w:type="dxa" w:w="100"/>
            </w:tcMar>
            <w:vAlign w:val="center"/>
          </w:tcPr>
          <w:p>
            <w:r>
              <w:rPr>
                <w:b w:val="false"/>
                <w:bCs w:val="false"/>
                <w:color w:val="000000"/>
                <w:sz w:val="20"/>
                <w:szCs w:val="20"/>
              </w:rPr>
              <w:t xml:space="preserve">Balance calc, request → approve → process states, min ₹1,000, ledger-based deduction.</w:t>
            </w:r>
          </w:p>
        </w:tc>
      </w:tr>
      <w:tr>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13. Notifications &amp; scheduler</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14–15</w:t>
            </w:r>
          </w:p>
        </w:tc>
        <w:tc>
          <w:tcPr>
            <w:tcW w:type="dxa" w:w="4400"/>
            <w:shd w:fill="F2F2F2" w:color="auto" w:val="clear"/>
            <w:tcMar>
              <w:top w:type="dxa" w:w="80"/>
              <w:left w:type="dxa" w:w="100"/>
              <w:bottom w:type="dxa" w:w="80"/>
              <w:right w:type="dxa" w:w="100"/>
            </w:tcMar>
            <w:vAlign w:val="center"/>
          </w:tcPr>
          <w:p>
            <w:r>
              <w:rPr>
                <w:b w:val="false"/>
                <w:bCs w:val="false"/>
                <w:color w:val="000000"/>
                <w:sz w:val="20"/>
                <w:szCs w:val="20"/>
              </w:rPr>
              <w:t xml:space="preserve">Cron/BullMQ reminders (start of month, 15th, 20th), event-triggered messages.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14. Admin portal &amp; reports</w:t>
            </w:r>
          </w:p>
        </w:tc>
        <w:tc>
          <w:tcPr>
            <w:tcW w:type="dxa" w:w="1400"/>
            <w:tcMar>
              <w:top w:type="dxa" w:w="80"/>
              <w:left w:type="dxa" w:w="100"/>
              <w:bottom w:type="dxa" w:w="80"/>
              <w:right w:type="dxa" w:w="100"/>
            </w:tcMar>
            <w:vAlign w:val="center"/>
          </w:tcPr>
          <w:p>
            <w:r>
              <w:rPr>
                <w:b w:val="false"/>
                <w:bCs w:val="false"/>
                <w:color w:val="000000"/>
                <w:sz w:val="20"/>
                <w:szCs w:val="20"/>
              </w:rPr>
              <w:t xml:space="preserve">15–17</w:t>
            </w:r>
          </w:p>
        </w:tc>
        <w:tc>
          <w:tcPr>
            <w:tcW w:type="dxa" w:w="4400"/>
            <w:tcMar>
              <w:top w:type="dxa" w:w="80"/>
              <w:left w:type="dxa" w:w="100"/>
              <w:bottom w:type="dxa" w:w="80"/>
              <w:right w:type="dxa" w:w="100"/>
            </w:tcMar>
            <w:vAlign w:val="center"/>
          </w:tcPr>
          <w:p>
            <w:r>
              <w:rPr>
                <w:b w:val="false"/>
                <w:bCs w:val="false"/>
                <w:color w:val="000000"/>
                <w:sz w:val="20"/>
                <w:szCs w:val="20"/>
              </w:rPr>
              <w:t xml:space="preserve">Member management, earnings/payout admin, announcements, Excel exports, 12 report types.</w:t>
            </w:r>
          </w:p>
        </w:tc>
      </w:tr>
      <w:tr>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15. Audit, security hardening, ops</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17–18</w:t>
            </w:r>
          </w:p>
        </w:tc>
        <w:tc>
          <w:tcPr>
            <w:tcW w:type="dxa" w:w="4400"/>
            <w:shd w:fill="F2F2F2" w:color="auto" w:val="clear"/>
            <w:tcMar>
              <w:top w:type="dxa" w:w="80"/>
              <w:left w:type="dxa" w:w="100"/>
              <w:bottom w:type="dxa" w:w="80"/>
              <w:right w:type="dxa" w:w="100"/>
            </w:tcMar>
            <w:vAlign w:val="center"/>
          </w:tcPr>
          <w:p>
            <w:r>
              <w:rPr>
                <w:b w:val="false"/>
                <w:bCs w:val="false"/>
                <w:color w:val="000000"/>
                <w:sz w:val="20"/>
                <w:szCs w:val="20"/>
              </w:rPr>
              <w:t xml:space="preserve">Audit log coverage, rate limiting, secure headers, backups, monitoring.</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16. Testing</w:t>
            </w:r>
          </w:p>
        </w:tc>
        <w:tc>
          <w:tcPr>
            <w:tcW w:type="dxa" w:w="1400"/>
            <w:tcMar>
              <w:top w:type="dxa" w:w="80"/>
              <w:left w:type="dxa" w:w="100"/>
              <w:bottom w:type="dxa" w:w="80"/>
              <w:right w:type="dxa" w:w="100"/>
            </w:tcMar>
            <w:vAlign w:val="center"/>
          </w:tcPr>
          <w:p>
            <w:r>
              <w:rPr>
                <w:b w:val="false"/>
                <w:bCs w:val="false"/>
                <w:color w:val="000000"/>
                <w:sz w:val="20"/>
                <w:szCs w:val="20"/>
              </w:rPr>
              <w:t xml:space="preserve">18–20</w:t>
            </w:r>
          </w:p>
        </w:tc>
        <w:tc>
          <w:tcPr>
            <w:tcW w:type="dxa" w:w="4400"/>
            <w:tcMar>
              <w:top w:type="dxa" w:w="80"/>
              <w:left w:type="dxa" w:w="100"/>
              <w:bottom w:type="dxa" w:w="80"/>
              <w:right w:type="dxa" w:w="100"/>
            </w:tcMar>
            <w:vAlign w:val="center"/>
          </w:tcPr>
          <w:p>
            <w:r>
              <w:rPr>
                <w:b w:val="false"/>
                <w:bCs w:val="false"/>
                <w:color w:val="000000"/>
                <w:sz w:val="20"/>
                <w:szCs w:val="20"/>
              </w:rPr>
              <w:t xml:space="preserve">Full suite from Section 28 — business rules, security, financial edge cases.</w:t>
            </w:r>
          </w:p>
        </w:tc>
      </w:tr>
      <w:tr>
        <w:tc>
          <w:tcPr>
            <w:tcW w:type="dxa" w:w="3400"/>
            <w:shd w:fill="F2F2F2" w:color="auto" w:val="clear"/>
            <w:tcMar>
              <w:top w:type="dxa" w:w="80"/>
              <w:left w:type="dxa" w:w="100"/>
              <w:bottom w:type="dxa" w:w="80"/>
              <w:right w:type="dxa" w:w="100"/>
            </w:tcMar>
            <w:vAlign w:val="center"/>
          </w:tcPr>
          <w:p>
            <w:r>
              <w:rPr>
                <w:b w:val="false"/>
                <w:bCs w:val="false"/>
                <w:color w:val="000000"/>
                <w:sz w:val="20"/>
                <w:szCs w:val="20"/>
              </w:rPr>
              <w:t xml:space="preserve">17. UAT &amp; deployment</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20–21</w:t>
            </w:r>
          </w:p>
        </w:tc>
        <w:tc>
          <w:tcPr>
            <w:tcW w:type="dxa" w:w="4400"/>
            <w:shd w:fill="F2F2F2" w:color="auto" w:val="clear"/>
            <w:tcMar>
              <w:top w:type="dxa" w:w="80"/>
              <w:left w:type="dxa" w:w="100"/>
              <w:bottom w:type="dxa" w:w="80"/>
              <w:right w:type="dxa" w:w="100"/>
            </w:tcMar>
            <w:vAlign w:val="center"/>
          </w:tcPr>
          <w:p>
            <w:r>
              <w:rPr>
                <w:b w:val="false"/>
                <w:bCs w:val="false"/>
                <w:color w:val="000000"/>
                <w:sz w:val="20"/>
                <w:szCs w:val="20"/>
              </w:rPr>
              <w:t xml:space="preserve">Staging rehearsal, production deploy, go-live checklist.</w:t>
            </w:r>
          </w:p>
        </w:tc>
      </w:tr>
    </w:tbl>
    <w:p>
      <w:pPr>
        <w:pStyle w:val="Heading1"/>
        <w:spacing w:after="160" w:before="360"/>
      </w:pPr>
      <w:r>
        <w:t xml:space="preserve">7. Module-by-Module Build Notes</w:t>
      </w:r>
    </w:p>
    <w:p>
      <w:pPr>
        <w:spacing w:after="160"/>
      </w:pPr>
      <w:r>
        <w:t xml:space="preserve">Each module below maps to one or more NestJS modules in the scaffold and cites the SRS sections it must satisfy. Treat the bullet list under each as its Definition of Done.</w:t>
      </w:r>
    </w:p>
    <w:p>
      <w:pPr>
        <w:pStyle w:val="Heading2"/>
        <w:spacing w:after="120" w:before="260"/>
      </w:pPr>
      <w:r>
        <w:t xml:space="preserve">7.1 Auth &amp; RBAC — SRS §4.3, §19, §20</w:t>
      </w:r>
    </w:p>
    <w:p>
      <w:pPr>
        <w:pStyle w:val="ListParagraph"/>
        <w:numPr>
          <w:ilvl w:val="0"/>
          <w:numId w:val="4"/>
        </w:numPr>
        <w:spacing w:after="80"/>
      </w:pPr>
      <w:r>
        <w:t xml:space="preserve">Login by Member ID/Admin username + password; Argon2/bcrypt hashing with unique salts.</w:t>
      </w:r>
    </w:p>
    <w:p>
      <w:pPr>
        <w:pStyle w:val="ListParagraph"/>
        <w:numPr>
          <w:ilvl w:val="0"/>
          <w:numId w:val="4"/>
        </w:numPr>
        <w:spacing w:after="80"/>
      </w:pPr>
      <w:r>
        <w:t xml:space="preserve">Access token (short-lived JWT) + refresh token (httpOnly, Secure, SameSite cookie).</w:t>
      </w:r>
    </w:p>
    <w:p>
      <w:pPr>
        <w:pStyle w:val="ListParagraph"/>
        <w:numPr>
          <w:ilvl w:val="0"/>
          <w:numId w:val="4"/>
        </w:numPr>
        <w:spacing w:after="80"/>
      </w:pPr>
      <w:r>
        <w:t xml:space="preserve">Logout invalidates the refresh token server-side.</w:t>
      </w:r>
    </w:p>
    <w:p>
      <w:pPr>
        <w:pStyle w:val="ListParagraph"/>
        <w:numPr>
          <w:ilvl w:val="0"/>
          <w:numId w:val="4"/>
        </w:numPr>
        <w:spacing w:after="80"/>
      </w:pPr>
      <w:r>
        <w:t xml:space="preserve">Role/permission tables drive a guard used on every controller route — no route trusts client-claimed role.</w:t>
      </w:r>
    </w:p>
    <w:p>
      <w:pPr>
        <w:pStyle w:val="ListParagraph"/>
        <w:numPr>
          <w:ilvl w:val="0"/>
          <w:numId w:val="4"/>
        </w:numPr>
        <w:spacing w:after="80"/>
      </w:pPr>
      <w:r>
        <w:t xml:space="preserve">Access Control Matrix (SRS §20) implemented as seeded roles: Super Admin, Admin, Finance, Support, Member.</w:t>
      </w:r>
    </w:p>
    <w:p>
      <w:pPr>
        <w:pStyle w:val="Heading2"/>
        <w:spacing w:after="120" w:before="260"/>
      </w:pPr>
      <w:r>
        <w:t xml:space="preserve">7.2 Registration &amp; Sponsor Validation — SRS §4</w:t>
      </w:r>
    </w:p>
    <w:p>
      <w:pPr>
        <w:pStyle w:val="ListParagraph"/>
        <w:numPr>
          <w:ilvl w:val="0"/>
          <w:numId w:val="4"/>
        </w:numPr>
        <w:spacing w:after="80"/>
      </w:pPr>
      <w:r>
        <w:t xml:space="preserve">Referral link carries sponsor Member ID; backend validates it exists and is active before showing the form.</w:t>
      </w:r>
    </w:p>
    <w:p>
      <w:pPr>
        <w:pStyle w:val="ListParagraph"/>
        <w:numPr>
          <w:ilvl w:val="0"/>
          <w:numId w:val="4"/>
        </w:numPr>
        <w:spacing w:after="80"/>
      </w:pPr>
      <w:r>
        <w:t xml:space="preserve">Member ID generator is transactional/sequential (A000001…) with a DB-level uniqueness guarantee (sequence or locked counter, not client-side generation).</w:t>
      </w:r>
    </w:p>
    <w:p>
      <w:pPr>
        <w:pStyle w:val="ListParagraph"/>
        <w:numPr>
          <w:ilvl w:val="0"/>
          <w:numId w:val="4"/>
        </w:numPr>
        <w:spacing w:after="80"/>
      </w:pPr>
      <w:r>
        <w:t xml:space="preserve">Initial password generated server-side, sent via SMS/email, stored only as a hash — never persisted in plaintext or logs.</w:t>
      </w:r>
    </w:p>
    <w:p>
      <w:pPr>
        <w:pStyle w:val="ListParagraph"/>
        <w:numPr>
          <w:ilvl w:val="0"/>
          <w:numId w:val="4"/>
        </w:numPr>
        <w:spacing w:after="80"/>
      </w:pPr>
      <w:r>
        <w:t xml:space="preserve">No forced password change (per SRS), but a clear “change password” entry point in the profile.</w:t>
      </w:r>
    </w:p>
    <w:p>
      <w:pPr>
        <w:pStyle w:val="Heading2"/>
        <w:spacing w:after="120" w:before="260"/>
      </w:pPr>
      <w:r>
        <w:t xml:space="preserve">7.3 Member Profile &amp; Sensitive Data — SRS §5, §15.2, §19</w:t>
      </w:r>
    </w:p>
    <w:p>
      <w:pPr>
        <w:pStyle w:val="ListParagraph"/>
        <w:numPr>
          <w:ilvl w:val="0"/>
          <w:numId w:val="4"/>
        </w:numPr>
        <w:spacing w:after="80"/>
      </w:pPr>
      <w:r>
        <w:t xml:space="preserve">Aadhaar/PAN/bank fields encrypted at rest; decrypted only server-side for authorized roles.</w:t>
      </w:r>
    </w:p>
    <w:p>
      <w:pPr>
        <w:pStyle w:val="ListParagraph"/>
        <w:numPr>
          <w:ilvl w:val="0"/>
          <w:numId w:val="4"/>
        </w:numPr>
        <w:spacing w:after="80"/>
      </w:pPr>
      <w:r>
        <w:t xml:space="preserve">Default display is masked (e.g. XXXX XXXX 1234); full reveal requires an explicit action that is audit-logged.</w:t>
      </w:r>
    </w:p>
    <w:p>
      <w:pPr>
        <w:pStyle w:val="ListParagraph"/>
        <w:numPr>
          <w:ilvl w:val="0"/>
          <w:numId w:val="4"/>
        </w:numPr>
        <w:spacing w:after="80"/>
      </w:pPr>
      <w:r>
        <w:t xml:space="preserve">File upload validation: type/size checks, storage in S3/R2 with signed URLs, not public buckets.</w:t>
      </w:r>
    </w:p>
    <w:p>
      <w:pPr>
        <w:pStyle w:val="Heading2"/>
        <w:spacing w:after="120" w:before="260"/>
      </w:pPr>
      <w:r>
        <w:t xml:space="preserve">7.4 Genealogy Engine — SRS §6</w:t>
      </w:r>
    </w:p>
    <w:p>
      <w:pPr>
        <w:pStyle w:val="ListParagraph"/>
        <w:numPr>
          <w:ilvl w:val="0"/>
          <w:numId w:val="4"/>
        </w:numPr>
        <w:spacing w:after="80"/>
      </w:pPr>
      <w:r>
        <w:t xml:space="preserve">Recursive CTE from a member up to 10 levels via sponsor_id; level computed by query depth, not stored.</w:t>
      </w:r>
    </w:p>
    <w:p>
      <w:pPr>
        <w:pStyle w:val="ListParagraph"/>
        <w:numPr>
          <w:ilvl w:val="0"/>
          <w:numId w:val="4"/>
        </w:numPr>
        <w:spacing w:after="80"/>
      </w:pPr>
      <w:r>
        <w:t xml:space="preserve">Insert-time check walks the new sponsor chain to reject a sponsor assignment that would create a cycle.</w:t>
      </w:r>
    </w:p>
    <w:p>
      <w:pPr>
        <w:pStyle w:val="ListParagraph"/>
        <w:numPr>
          <w:ilvl w:val="0"/>
          <w:numId w:val="4"/>
        </w:numPr>
        <w:spacing w:after="80"/>
      </w:pPr>
      <w:r>
        <w:t xml:space="preserve">Tree UI: expand/collapse per node, click-through to permitted member details, S.No/ID/Name/DOJ/Advance Paid/Sponsor ID/Payment Status/Member Status columns exactly as SRS Table 5.</w:t>
      </w:r>
    </w:p>
    <w:p>
      <w:pPr>
        <w:pStyle w:val="Heading2"/>
        <w:spacing w:after="120" w:before="260"/>
      </w:pPr>
      <w:r>
        <w:t xml:space="preserve">7.5 Payment Plan &amp; Monthly Payment — SRS §7</w:t>
      </w:r>
    </w:p>
    <w:p>
      <w:pPr>
        <w:pStyle w:val="ListParagraph"/>
        <w:numPr>
          <w:ilvl w:val="0"/>
          <w:numId w:val="4"/>
        </w:numPr>
        <w:spacing w:after="80"/>
      </w:pPr>
      <w:r>
        <w:t xml:space="preserve">First successful payment writes the payment_plans row that fixes the recurring monthly amount; amount must be ≥ ₹1,000 and a multiple of ₹1,000.</w:t>
      </w:r>
    </w:p>
    <w:p>
      <w:pPr>
        <w:pStyle w:val="ListParagraph"/>
        <w:numPr>
          <w:ilvl w:val="0"/>
          <w:numId w:val="4"/>
        </w:numPr>
        <w:spacing w:after="80"/>
      </w:pPr>
      <w:r>
        <w:t xml:space="preserve">Every later payment is validated against the locked plan amount — no silent changes; a future upgrade path is a separate, explicitly-approved feature (see Open Decision #3).</w:t>
      </w:r>
    </w:p>
    <w:p>
      <w:pPr>
        <w:pStyle w:val="ListParagraph"/>
        <w:numPr>
          <w:ilvl w:val="0"/>
          <w:numId w:val="4"/>
        </w:numPr>
        <w:spacing w:after="80"/>
      </w:pPr>
      <w:r>
        <w:t xml:space="preserve">Reminder timing (start of month, before 15th, 15th, after 15th, 20th cutoff) stored as configuration, not hard-coded constants.</w:t>
      </w:r>
    </w:p>
    <w:p>
      <w:pPr>
        <w:pStyle w:val="Heading2"/>
        <w:spacing w:after="120" w:before="260"/>
      </w:pPr>
      <w:r>
        <w:t xml:space="preserve">7.6 Online Payment — SRS §8</w:t>
      </w:r>
    </w:p>
    <w:p>
      <w:pPr>
        <w:pStyle w:val="ListParagraph"/>
        <w:numPr>
          <w:ilvl w:val="0"/>
          <w:numId w:val="4"/>
        </w:numPr>
        <w:spacing w:after="80"/>
      </w:pPr>
      <w:r>
        <w:t xml:space="preserve">Paying member is always resolved from the authenticated session server-side.</w:t>
      </w:r>
    </w:p>
    <w:p>
      <w:pPr>
        <w:pStyle w:val="ListParagraph"/>
        <w:numPr>
          <w:ilvl w:val="0"/>
          <w:numId w:val="4"/>
        </w:numPr>
        <w:spacing w:after="80"/>
      </w:pPr>
      <w:r>
        <w:t xml:space="preserve">Razorpay order created server-side with the validated amount; webhook signature verified before marking success.</w:t>
      </w:r>
    </w:p>
    <w:p>
      <w:pPr>
        <w:pStyle w:val="ListParagraph"/>
        <w:numPr>
          <w:ilvl w:val="0"/>
          <w:numId w:val="4"/>
        </w:numPr>
        <w:spacing w:after="80"/>
      </w:pPr>
      <w:r>
        <w:t xml:space="preserve">Idempotency: unique constraint on gateway transaction ID; duplicate webhook deliveries are detected and ignored, not double-recorded.</w:t>
      </w:r>
    </w:p>
    <w:p>
      <w:pPr>
        <w:pStyle w:val="ListParagraph"/>
        <w:numPr>
          <w:ilvl w:val="0"/>
          <w:numId w:val="4"/>
        </w:numPr>
        <w:spacing w:after="80"/>
      </w:pPr>
      <w:r>
        <w:t xml:space="preserve">Receipt generated and available in payment history immediately on verified success.</w:t>
      </w:r>
    </w:p>
    <w:p>
      <w:pPr>
        <w:pStyle w:val="Heading2"/>
        <w:spacing w:after="120" w:before="260"/>
      </w:pPr>
      <w:r>
        <w:t xml:space="preserve">7.7 Manual Payment Entry — SRS §9</w:t>
      </w:r>
    </w:p>
    <w:p>
      <w:pPr>
        <w:pStyle w:val="ListParagraph"/>
        <w:numPr>
          <w:ilvl w:val="0"/>
          <w:numId w:val="4"/>
        </w:numPr>
        <w:spacing w:after="80"/>
      </w:pPr>
      <w:r>
        <w:t xml:space="preserve">Admin enters Member ID → system fetches name → amount validated against the same plan rules as online payments.</w:t>
      </w:r>
    </w:p>
    <w:p>
      <w:pPr>
        <w:pStyle w:val="ListParagraph"/>
        <w:numPr>
          <w:ilvl w:val="0"/>
          <w:numId w:val="4"/>
        </w:numPr>
        <w:spacing w:after="80"/>
      </w:pPr>
      <w:r>
        <w:t xml:space="preserve">Entered-by admin user ID stored on every manual payment row for audit.</w:t>
      </w:r>
    </w:p>
    <w:p>
      <w:pPr>
        <w:pStyle w:val="ListParagraph"/>
        <w:numPr>
          <w:ilvl w:val="0"/>
          <w:numId w:val="4"/>
        </w:numPr>
        <w:spacing w:after="80"/>
      </w:pPr>
      <w:r>
        <w:t xml:space="preserve">No hard delete of a manual payment — corrections are reversal/adjustment transactions (SRS §23).</w:t>
      </w:r>
    </w:p>
    <w:p>
      <w:pPr>
        <w:pStyle w:val="Heading2"/>
        <w:spacing w:after="120" w:before="260"/>
      </w:pPr>
      <w:r>
        <w:t xml:space="preserve">7.8 Commission Engine — SRS §10</w:t>
      </w:r>
    </w:p>
    <w:p>
      <w:pPr>
        <w:pStyle w:val="ListParagraph"/>
        <w:numPr>
          <w:ilvl w:val="0"/>
          <w:numId w:val="4"/>
        </w:numPr>
        <w:spacing w:after="80"/>
      </w:pPr>
      <w:r>
        <w:t xml:space="preserve">Triggered only after a payment reaches verified/success status.</w:t>
      </w:r>
    </w:p>
    <w:p>
      <w:pPr>
        <w:pStyle w:val="ListParagraph"/>
        <w:numPr>
          <w:ilvl w:val="0"/>
          <w:numId w:val="4"/>
        </w:numPr>
        <w:spacing w:after="80"/>
      </w:pPr>
      <w:r>
        <w:t xml:space="preserve">Checks source member's monthly-payment eligibility (20th-cutoff rule) before generating any commission for that month.</w:t>
      </w:r>
    </w:p>
    <w:p>
      <w:pPr>
        <w:pStyle w:val="ListParagraph"/>
        <w:numPr>
          <w:ilvl w:val="0"/>
          <w:numId w:val="4"/>
        </w:numPr>
        <w:spacing w:after="80"/>
      </w:pPr>
      <w:r>
        <w:t xml:space="preserve">Walks the sponsor chain from the payer upward; writes one commission_ledger row per level 2–10 using the commission_rules version active at payment time.</w:t>
      </w:r>
    </w:p>
    <w:p>
      <w:pPr>
        <w:pStyle w:val="ListParagraph"/>
        <w:numPr>
          <w:ilvl w:val="0"/>
          <w:numId w:val="4"/>
        </w:numPr>
        <w:spacing w:after="80"/>
      </w:pPr>
      <w:r>
        <w:t xml:space="preserve">Ledger rows are immutable; a later rule change never recalculates historical rows (SRS §10.2).</w:t>
      </w:r>
    </w:p>
    <w:p>
      <w:pPr>
        <w:pStyle w:val="ListParagraph"/>
        <w:numPr>
          <w:ilvl w:val="0"/>
          <w:numId w:val="4"/>
        </w:numPr>
        <w:spacing w:after="80"/>
      </w:pPr>
      <w:r>
        <w:t xml:space="preserve">Refund/cancellation after commission generation produces reversal rows referencing the original entry (SRS §23), never a delete.</w:t>
      </w:r>
    </w:p>
    <w:p>
      <w:pPr>
        <w:pStyle w:val="Heading2"/>
        <w:spacing w:after="120" w:before="260"/>
      </w:pPr>
      <w:r>
        <w:t xml:space="preserve">7.9 Passbook — SRS §11</w:t>
      </w:r>
    </w:p>
    <w:p>
      <w:pPr>
        <w:pStyle w:val="ListParagraph"/>
        <w:numPr>
          <w:ilvl w:val="0"/>
          <w:numId w:val="4"/>
        </w:numPr>
        <w:spacing w:after="80"/>
      </w:pPr>
      <w:r>
        <w:t xml:space="preserve">Earnings tab: S.No, Date, Source ID, Level, Earnings — commission rate intentionally NOT shown.</w:t>
      </w:r>
    </w:p>
    <w:p>
      <w:pPr>
        <w:pStyle w:val="ListParagraph"/>
        <w:numPr>
          <w:ilvl w:val="0"/>
          <w:numId w:val="4"/>
        </w:numPr>
        <w:spacing w:after="80"/>
      </w:pPr>
      <w:r>
        <w:t xml:space="preserve">Payouts tab: S.No, Date, Source/Reference, Amount, Payment Mode, Status.</w:t>
      </w:r>
    </w:p>
    <w:p>
      <w:pPr>
        <w:pStyle w:val="ListParagraph"/>
        <w:numPr>
          <w:ilvl w:val="0"/>
          <w:numId w:val="4"/>
        </w:numPr>
        <w:spacing w:after="80"/>
      </w:pPr>
      <w:r>
        <w:t xml:space="preserve">From/To date filters on both; Earnings additionally filterable by source member and level; Payouts by mode/status; Reset Filter restores the full list.</w:t>
      </w:r>
    </w:p>
    <w:p>
      <w:pPr>
        <w:pStyle w:val="Heading2"/>
        <w:spacing w:after="120" w:before="260"/>
      </w:pPr>
      <w:r>
        <w:t xml:space="preserve">7.10 Payout Workflow — SRS §12, §13</w:t>
      </w:r>
    </w:p>
    <w:p>
      <w:pPr>
        <w:pStyle w:val="ListParagraph"/>
        <w:numPr>
          <w:ilvl w:val="0"/>
          <w:numId w:val="4"/>
        </w:numPr>
        <w:spacing w:after="80"/>
      </w:pPr>
      <w:r>
        <w:t xml:space="preserve">Available balance is always computed as SUM(commission_ledger) − SUM(payouts), never stored as an editable field.</w:t>
      </w:r>
    </w:p>
    <w:p>
      <w:pPr>
        <w:pStyle w:val="ListParagraph"/>
        <w:numPr>
          <w:ilvl w:val="0"/>
          <w:numId w:val="4"/>
        </w:numPr>
        <w:spacing w:after="80"/>
      </w:pPr>
      <w:r>
        <w:t xml:space="preserve">Request/entry requires amount ≥ ₹1,000 and ≤ available balance, enforced server-side regardless of what the client sends.</w:t>
      </w:r>
    </w:p>
    <w:p>
      <w:pPr>
        <w:pStyle w:val="ListParagraph"/>
        <w:numPr>
          <w:ilvl w:val="0"/>
          <w:numId w:val="4"/>
        </w:numPr>
        <w:spacing w:after="80"/>
      </w:pPr>
      <w:r>
        <w:t xml:space="preserve">Status workflow: Pending → Approved → Processing → Paid, with Rejected/Cancelled branches; every transition writes an audit record.</w:t>
      </w:r>
    </w:p>
    <w:p>
      <w:pPr>
        <w:pStyle w:val="Heading2"/>
        <w:spacing w:after="120" w:before="260"/>
      </w:pPr>
      <w:r>
        <w:t xml:space="preserve">7.11 Notifications &amp; Scheduler — SRS §7.1, §17</w:t>
      </w:r>
    </w:p>
    <w:p>
      <w:pPr>
        <w:pStyle w:val="ListParagraph"/>
        <w:numPr>
          <w:ilvl w:val="0"/>
          <w:numId w:val="4"/>
        </w:numPr>
        <w:spacing w:after="80"/>
      </w:pPr>
      <w:r>
        <w:t xml:space="preserve">BullMQ (or node-cron for MVP) jobs for: start-of-month reminder, pre-15th reminders, 15th due-date reminder, post-15th overdue reminders, 20th final/commission-stop warning.</w:t>
      </w:r>
    </w:p>
    <w:p>
      <w:pPr>
        <w:pStyle w:val="ListParagraph"/>
        <w:numPr>
          <w:ilvl w:val="0"/>
          <w:numId w:val="4"/>
        </w:numPr>
        <w:spacing w:after="80"/>
      </w:pPr>
      <w:r>
        <w:t xml:space="preserve">Event-triggered notifications: registration welcome, payment success, commission credited, payout processed, announcement, password changed.</w:t>
      </w:r>
    </w:p>
    <w:p>
      <w:pPr>
        <w:pStyle w:val="ListParagraph"/>
        <w:numPr>
          <w:ilvl w:val="0"/>
          <w:numId w:val="4"/>
        </w:numPr>
        <w:spacing w:after="80"/>
      </w:pPr>
      <w:r>
        <w:t xml:space="preserve">Readable password is only ever sent through the channel, never written to any notifications log table.</w:t>
      </w:r>
    </w:p>
    <w:p>
      <w:pPr>
        <w:pStyle w:val="Heading2"/>
        <w:spacing w:after="120" w:before="260"/>
      </w:pPr>
      <w:r>
        <w:t xml:space="preserve">7.12 Admin Portal, Reports &amp; Exports — SRS §15, §24</w:t>
      </w:r>
    </w:p>
    <w:p>
      <w:pPr>
        <w:pStyle w:val="ListParagraph"/>
        <w:numPr>
          <w:ilvl w:val="0"/>
          <w:numId w:val="4"/>
        </w:numPr>
        <w:spacing w:after="80"/>
      </w:pPr>
      <w:r>
        <w:t xml:space="preserve">Member management: list/search/filter, profile view/edit, genealogy view, payment/earnings/payout view, Excel export.</w:t>
      </w:r>
    </w:p>
    <w:p>
      <w:pPr>
        <w:pStyle w:val="ListParagraph"/>
        <w:numPr>
          <w:ilvl w:val="0"/>
          <w:numId w:val="4"/>
        </w:numPr>
        <w:spacing w:after="80"/>
      </w:pPr>
      <w:r>
        <w:t xml:space="preserve">Earnings &amp; Payout admin: totals per member, filters by earnings range/payout date, drill-down to source-wise earnings and payout history.</w:t>
      </w:r>
    </w:p>
    <w:p>
      <w:pPr>
        <w:pStyle w:val="ListParagraph"/>
        <w:numPr>
          <w:ilvl w:val="0"/>
          <w:numId w:val="4"/>
        </w:numPr>
        <w:spacing w:after="80"/>
      </w:pPr>
      <w:r>
        <w:t xml:space="preserve">All 12 report types from SRS §24 as filtered, paginated, exportable views over the ledger tables (never separately-maintained summary tables that could drift).</w:t>
      </w:r>
    </w:p>
    <w:p>
      <w:pPr>
        <w:pStyle w:val="ListParagraph"/>
        <w:numPr>
          <w:ilvl w:val="0"/>
          <w:numId w:val="4"/>
        </w:numPr>
        <w:spacing w:after="80"/>
      </w:pPr>
      <w:r>
        <w:t xml:space="preserve">Excel export restricted by role and logged, sensitive fields excluded unless the exporting role is authorized (SRS §15.2).</w:t>
      </w:r>
    </w:p>
    <w:p>
      <w:pPr>
        <w:pStyle w:val="Heading2"/>
        <w:spacing w:after="120" w:before="260"/>
      </w:pPr>
      <w:r>
        <w:t xml:space="preserve">7.13 Audit, Security &amp; Operations — SRS §19, §22, §27</w:t>
      </w:r>
    </w:p>
    <w:p>
      <w:pPr>
        <w:pStyle w:val="ListParagraph"/>
        <w:numPr>
          <w:ilvl w:val="0"/>
          <w:numId w:val="4"/>
        </w:numPr>
        <w:spacing w:after="80"/>
      </w:pPr>
      <w:r>
        <w:t xml:space="preserve">A single audit interceptor wraps sensitive controllers (KYC/bank reads, admin edits, payout approvals, exports) and writes actor/action/entity/before/after to audit_logs.</w:t>
      </w:r>
    </w:p>
    <w:p>
      <w:pPr>
        <w:pStyle w:val="ListParagraph"/>
        <w:numPr>
          <w:ilvl w:val="0"/>
          <w:numId w:val="4"/>
        </w:numPr>
        <w:spacing w:after="80"/>
      </w:pPr>
      <w:r>
        <w:t xml:space="preserve">HTTPS everywhere, secure headers (helmet), CSRF protection for cookie-based auth, input validation via DTOs/class-validator on every endpoint.</w:t>
      </w:r>
    </w:p>
    <w:p>
      <w:pPr>
        <w:pStyle w:val="ListParagraph"/>
        <w:numPr>
          <w:ilvl w:val="0"/>
          <w:numId w:val="4"/>
        </w:numPr>
        <w:spacing w:after="80"/>
      </w:pPr>
      <w:r>
        <w:t xml:space="preserve">Secrets (DB creds, Razorpay keys, JWT signing key) in environment variables / a secrets manager — never in source control.</w:t>
      </w:r>
    </w:p>
    <w:p>
      <w:pPr>
        <w:pStyle w:val="ListParagraph"/>
        <w:numPr>
          <w:ilvl w:val="0"/>
          <w:numId w:val="4"/>
        </w:numPr>
        <w:spacing w:after="80"/>
      </w:pPr>
      <w:r>
        <w:t xml:space="preserve">Automated encrypted Postgres backups (e.g. nightly pg_dump to encrypted S3) with a documented, periodically-tested restore procedure.</w:t>
      </w:r>
    </w:p>
    <w:p>
      <w:pPr>
        <w:pStyle w:val="ListParagraph"/>
        <w:numPr>
          <w:ilvl w:val="0"/>
          <w:numId w:val="4"/>
        </w:numPr>
        <w:spacing w:after="80"/>
      </w:pPr>
      <w:r>
        <w:t xml:space="preserve">Sentry for error tracking; alerts on payment-webhook failures and missed scheduler runs.</w:t>
      </w:r>
    </w:p>
    <w:p>
      <w:pPr>
        <w:pStyle w:val="Heading1"/>
        <w:spacing w:after="160" w:before="360"/>
      </w:pPr>
      <w:r>
        <w:t xml:space="preserve">8. API Surface (Representative)</w:t>
      </w:r>
    </w:p>
    <w:p>
      <w:pPr>
        <w:spacing w:after="160"/>
      </w:pPr>
      <w:r>
        <w:t xml:space="preserve">Full endpoint contracts should be written as you build each module (OpenAPI/Swagger is auto-generated by NestJS decorators — turn it on from Phase 1). Section 25 of the SRS gives the module groupings; this table expands them into concrete route groups.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shd w:fill="1F3864" w:color="auto" w:val="clear"/>
            <w:tcMar>
              <w:top w:type="dxa" w:w="80"/>
              <w:left w:type="dxa" w:w="100"/>
              <w:bottom w:type="dxa" w:w="80"/>
              <w:right w:type="dxa" w:w="100"/>
            </w:tcMar>
            <w:vAlign w:val="center"/>
          </w:tcPr>
          <w:p>
            <w:r>
              <w:rPr>
                <w:b/>
                <w:bCs/>
                <w:color w:val="FFFFFF"/>
                <w:sz w:val="20"/>
                <w:szCs w:val="20"/>
              </w:rPr>
              <w:t xml:space="preserve">Module</w:t>
            </w:r>
          </w:p>
        </w:tc>
        <w:tc>
          <w:tcPr>
            <w:tcW w:type="dxa" w:w="7400"/>
            <w:shd w:fill="1F3864" w:color="auto" w:val="clear"/>
            <w:tcMar>
              <w:top w:type="dxa" w:w="80"/>
              <w:left w:type="dxa" w:w="100"/>
              <w:bottom w:type="dxa" w:w="80"/>
              <w:right w:type="dxa" w:w="100"/>
            </w:tcMar>
            <w:vAlign w:val="center"/>
          </w:tcPr>
          <w:p>
            <w:r>
              <w:rPr>
                <w:b/>
                <w:bCs/>
                <w:color w:val="FFFFFF"/>
                <w:sz w:val="20"/>
                <w:szCs w:val="20"/>
              </w:rPr>
              <w:t xml:space="preserve">Representative Routes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Auth</w:t>
            </w:r>
          </w:p>
        </w:tc>
        <w:tc>
          <w:tcPr>
            <w:tcW w:type="dxa" w:w="7400"/>
            <w:tcMar>
              <w:top w:type="dxa" w:w="80"/>
              <w:left w:type="dxa" w:w="100"/>
              <w:bottom w:type="dxa" w:w="80"/>
              <w:right w:type="dxa" w:w="100"/>
            </w:tcMar>
            <w:vAlign w:val="center"/>
          </w:tcPr>
          <w:p>
            <w:r>
              <w:rPr>
                <w:b w:val="false"/>
                <w:bCs w:val="false"/>
                <w:color w:val="000000"/>
                <w:sz w:val="20"/>
                <w:szCs w:val="20"/>
              </w:rPr>
              <w:t xml:space="preserve">POST /auth/login, POST /auth/logout, POST /auth/refresh, POST /auth/password/change, POST /auth/password/reset</w:t>
            </w:r>
          </w:p>
        </w:tc>
      </w:tr>
      <w:tr>
        <w:tc>
          <w:tcPr>
            <w:tcW w:type="dxa" w:w="2000"/>
            <w:shd w:fill="F2F2F2" w:color="auto" w:val="clear"/>
            <w:tcMar>
              <w:top w:type="dxa" w:w="80"/>
              <w:left w:type="dxa" w:w="100"/>
              <w:bottom w:type="dxa" w:w="80"/>
              <w:right w:type="dxa" w:w="100"/>
            </w:tcMar>
            <w:vAlign w:val="center"/>
          </w:tcPr>
          <w:p>
            <w:r>
              <w:rPr>
                <w:b w:val="false"/>
                <w:bCs w:val="false"/>
                <w:color w:val="000000"/>
                <w:sz w:val="20"/>
                <w:szCs w:val="20"/>
              </w:rPr>
              <w:t xml:space="preserve">Members</w:t>
            </w:r>
          </w:p>
        </w:tc>
        <w:tc>
          <w:tcPr>
            <w:tcW w:type="dxa" w:w="7400"/>
            <w:shd w:fill="F2F2F2" w:color="auto" w:val="clear"/>
            <w:tcMar>
              <w:top w:type="dxa" w:w="80"/>
              <w:left w:type="dxa" w:w="100"/>
              <w:bottom w:type="dxa" w:w="80"/>
              <w:right w:type="dxa" w:w="100"/>
            </w:tcMar>
            <w:vAlign w:val="center"/>
          </w:tcPr>
          <w:p>
            <w:r>
              <w:rPr>
                <w:b w:val="false"/>
                <w:bCs w:val="false"/>
                <w:color w:val="000000"/>
                <w:sz w:val="20"/>
                <w:szCs w:val="20"/>
              </w:rPr>
              <w:t xml:space="preserve">POST /members/register, GET /members/me, PATCH /members/me, GET /members/:id, GET /members?search=&amp;status=&amp;from=&amp;to=</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Referral</w:t>
            </w:r>
          </w:p>
        </w:tc>
        <w:tc>
          <w:tcPr>
            <w:tcW w:type="dxa" w:w="7400"/>
            <w:tcMar>
              <w:top w:type="dxa" w:w="80"/>
              <w:left w:type="dxa" w:w="100"/>
              <w:bottom w:type="dxa" w:w="80"/>
              <w:right w:type="dxa" w:w="100"/>
            </w:tcMar>
            <w:vAlign w:val="center"/>
          </w:tcPr>
          <w:p>
            <w:r>
              <w:rPr>
                <w:b w:val="false"/>
                <w:bCs w:val="false"/>
                <w:color w:val="000000"/>
                <w:sz w:val="20"/>
                <w:szCs w:val="20"/>
              </w:rPr>
              <w:t xml:space="preserve">GET /referral/validate/:sponsorId, GET /referral/genealogy/:memberId</w:t>
            </w:r>
          </w:p>
        </w:tc>
      </w:tr>
      <w:tr>
        <w:tc>
          <w:tcPr>
            <w:tcW w:type="dxa" w:w="2000"/>
            <w:shd w:fill="F2F2F2" w:color="auto" w:val="clear"/>
            <w:tcMar>
              <w:top w:type="dxa" w:w="80"/>
              <w:left w:type="dxa" w:w="100"/>
              <w:bottom w:type="dxa" w:w="80"/>
              <w:right w:type="dxa" w:w="100"/>
            </w:tcMar>
            <w:vAlign w:val="center"/>
          </w:tcPr>
          <w:p>
            <w:r>
              <w:rPr>
                <w:b w:val="false"/>
                <w:bCs w:val="false"/>
                <w:color w:val="000000"/>
                <w:sz w:val="20"/>
                <w:szCs w:val="20"/>
              </w:rPr>
              <w:t xml:space="preserve">Payments</w:t>
            </w:r>
          </w:p>
        </w:tc>
        <w:tc>
          <w:tcPr>
            <w:tcW w:type="dxa" w:w="7400"/>
            <w:shd w:fill="F2F2F2" w:color="auto" w:val="clear"/>
            <w:tcMar>
              <w:top w:type="dxa" w:w="80"/>
              <w:left w:type="dxa" w:w="100"/>
              <w:bottom w:type="dxa" w:w="80"/>
              <w:right w:type="dxa" w:w="100"/>
            </w:tcMar>
            <w:vAlign w:val="center"/>
          </w:tcPr>
          <w:p>
            <w:r>
              <w:rPr>
                <w:b w:val="false"/>
                <w:bCs w:val="false"/>
                <w:color w:val="000000"/>
                <w:sz w:val="20"/>
                <w:szCs w:val="20"/>
              </w:rPr>
              <w:t xml:space="preserve">POST /payments/order, POST /payments/webhook, GET /payments/history, POST /admin/payments/manual</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Commission</w:t>
            </w:r>
          </w:p>
        </w:tc>
        <w:tc>
          <w:tcPr>
            <w:tcW w:type="dxa" w:w="7400"/>
            <w:tcMar>
              <w:top w:type="dxa" w:w="80"/>
              <w:left w:type="dxa" w:w="100"/>
              <w:bottom w:type="dxa" w:w="80"/>
              <w:right w:type="dxa" w:w="100"/>
            </w:tcMar>
            <w:vAlign w:val="center"/>
          </w:tcPr>
          <w:p>
            <w:r>
              <w:rPr>
                <w:b w:val="false"/>
                <w:bCs w:val="false"/>
                <w:color w:val="000000"/>
                <w:sz w:val="20"/>
                <w:szCs w:val="20"/>
              </w:rPr>
              <w:t xml:space="preserve">GET /passbook/earnings, GET /commission/rules (admin), POST /commission/rules (admin, versioned)</w:t>
            </w:r>
          </w:p>
        </w:tc>
      </w:tr>
      <w:tr>
        <w:tc>
          <w:tcPr>
            <w:tcW w:type="dxa" w:w="2000"/>
            <w:shd w:fill="F2F2F2" w:color="auto" w:val="clear"/>
            <w:tcMar>
              <w:top w:type="dxa" w:w="80"/>
              <w:left w:type="dxa" w:w="100"/>
              <w:bottom w:type="dxa" w:w="80"/>
              <w:right w:type="dxa" w:w="100"/>
            </w:tcMar>
            <w:vAlign w:val="center"/>
          </w:tcPr>
          <w:p>
            <w:r>
              <w:rPr>
                <w:b w:val="false"/>
                <w:bCs w:val="false"/>
                <w:color w:val="000000"/>
                <w:sz w:val="20"/>
                <w:szCs w:val="20"/>
              </w:rPr>
              <w:t xml:space="preserve">Payouts</w:t>
            </w:r>
          </w:p>
        </w:tc>
        <w:tc>
          <w:tcPr>
            <w:tcW w:type="dxa" w:w="7400"/>
            <w:shd w:fill="F2F2F2" w:color="auto" w:val="clear"/>
            <w:tcMar>
              <w:top w:type="dxa" w:w="80"/>
              <w:left w:type="dxa" w:w="100"/>
              <w:bottom w:type="dxa" w:w="80"/>
              <w:right w:type="dxa" w:w="100"/>
            </w:tcMar>
            <w:vAlign w:val="center"/>
          </w:tcPr>
          <w:p>
            <w:r>
              <w:rPr>
                <w:b w:val="false"/>
                <w:bCs w:val="false"/>
                <w:color w:val="000000"/>
                <w:sz w:val="20"/>
                <w:szCs w:val="20"/>
              </w:rPr>
              <w:t xml:space="preserve">GET /passbook/payouts, POST /payouts/request, POST /admin/payouts/:id/approve, POST /admin/payouts/:id/process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Notifications</w:t>
            </w:r>
          </w:p>
        </w:tc>
        <w:tc>
          <w:tcPr>
            <w:tcW w:type="dxa" w:w="7400"/>
            <w:tcMar>
              <w:top w:type="dxa" w:w="80"/>
              <w:left w:type="dxa" w:w="100"/>
              <w:bottom w:type="dxa" w:w="80"/>
              <w:right w:type="dxa" w:w="100"/>
            </w:tcMar>
            <w:vAlign w:val="center"/>
          </w:tcPr>
          <w:p>
            <w:r>
              <w:rPr>
                <w:b w:val="false"/>
                <w:bCs w:val="false"/>
                <w:color w:val="000000"/>
                <w:sz w:val="20"/>
                <w:szCs w:val="20"/>
              </w:rPr>
              <w:t xml:space="preserve">GET /notifications, POST /notifications/:id/read</w:t>
            </w:r>
          </w:p>
        </w:tc>
      </w:tr>
      <w:tr>
        <w:tc>
          <w:tcPr>
            <w:tcW w:type="dxa" w:w="2000"/>
            <w:shd w:fill="F2F2F2" w:color="auto" w:val="clear"/>
            <w:tcMar>
              <w:top w:type="dxa" w:w="80"/>
              <w:left w:type="dxa" w:w="100"/>
              <w:bottom w:type="dxa" w:w="80"/>
              <w:right w:type="dxa" w:w="100"/>
            </w:tcMar>
            <w:vAlign w:val="center"/>
          </w:tcPr>
          <w:p>
            <w:r>
              <w:rPr>
                <w:b w:val="false"/>
                <w:bCs w:val="false"/>
                <w:color w:val="000000"/>
                <w:sz w:val="20"/>
                <w:szCs w:val="20"/>
              </w:rPr>
              <w:t xml:space="preserve">Announcements</w:t>
            </w:r>
          </w:p>
        </w:tc>
        <w:tc>
          <w:tcPr>
            <w:tcW w:type="dxa" w:w="7400"/>
            <w:shd w:fill="F2F2F2" w:color="auto" w:val="clear"/>
            <w:tcMar>
              <w:top w:type="dxa" w:w="80"/>
              <w:left w:type="dxa" w:w="100"/>
              <w:bottom w:type="dxa" w:w="80"/>
              <w:right w:type="dxa" w:w="100"/>
            </w:tcMar>
            <w:vAlign w:val="center"/>
          </w:tcPr>
          <w:p>
            <w:r>
              <w:rPr>
                <w:b w:val="false"/>
                <w:bCs w:val="false"/>
                <w:color w:val="000000"/>
                <w:sz w:val="20"/>
                <w:szCs w:val="20"/>
              </w:rPr>
              <w:t xml:space="preserve">GET /announcements, POST /admin/announcements, PATCH /admin/announcements/:id</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Reports/Admin</w:t>
            </w:r>
          </w:p>
        </w:tc>
        <w:tc>
          <w:tcPr>
            <w:tcW w:type="dxa" w:w="7400"/>
            <w:tcMar>
              <w:top w:type="dxa" w:w="80"/>
              <w:left w:type="dxa" w:w="100"/>
              <w:bottom w:type="dxa" w:w="80"/>
              <w:right w:type="dxa" w:w="100"/>
            </w:tcMar>
            <w:vAlign w:val="center"/>
          </w:tcPr>
          <w:p>
            <w:r>
              <w:rPr>
                <w:b w:val="false"/>
                <w:bCs w:val="false"/>
                <w:color w:val="000000"/>
                <w:sz w:val="20"/>
                <w:szCs w:val="20"/>
              </w:rPr>
              <w:t xml:space="preserve">GET /admin/reports/:type, GET /admin/audit-logs, GET /admin/export/:type</w:t>
            </w:r>
          </w:p>
        </w:tc>
      </w:tr>
    </w:tbl>
    <w:p>
      <w:pPr>
        <w:pStyle w:val="Heading1"/>
        <w:spacing w:after="160" w:before="360"/>
      </w:pPr>
      <w:r>
        <w:t xml:space="preserve">9. Testing Strategy — SRS §28</w:t>
      </w:r>
    </w:p>
    <w:p>
      <w:pPr>
        <w:spacing w:after="160"/>
      </w:pPr>
      <w:r>
        <w:t xml:space="preserve">Build tests alongside each module rather than saving all testing for Phase 16 — Phase 16 is for the cross-cutting and business-rule tests that need the whole system in place.</w:t>
      </w:r>
    </w:p>
    <w:p>
      <w:pPr>
        <w:pStyle w:val="ListParagraph"/>
        <w:numPr>
          <w:ilvl w:val="0"/>
          <w:numId w:val="4"/>
        </w:numPr>
        <w:spacing w:after="80"/>
      </w:pPr>
      <w:r>
        <w:t xml:space="preserve">Unit tests per module as you build it (commission math, plan validation, sponsor-chain traversal) — written in the same week as the feature.</w:t>
      </w:r>
    </w:p>
    <w:p>
      <w:pPr>
        <w:pStyle w:val="ListParagraph"/>
        <w:numPr>
          <w:ilvl w:val="0"/>
          <w:numId w:val="4"/>
        </w:numPr>
        <w:spacing w:after="80"/>
      </w:pPr>
      <w:r>
        <w:t xml:space="preserve">Integration tests for the full payment → commission → ledger → passbook flow, including duplicate-webhook and refund scenarios.</w:t>
      </w:r>
    </w:p>
    <w:p>
      <w:pPr>
        <w:pStyle w:val="ListParagraph"/>
        <w:numPr>
          <w:ilvl w:val="0"/>
          <w:numId w:val="4"/>
        </w:numPr>
        <w:spacing w:after="80"/>
      </w:pPr>
      <w:r>
        <w:t xml:space="preserve">Business-rule regression suite covering every bullet in SRS §28: unlimited referral, 10-level traversal, circular-sponsor rejection, ₹1,000-multiple validation, recurring-plan consistency, Level 1 zero-commission, 20th-cutoff rule, ₹1,000 payout minimum, payout-over-balance rejection.</w:t>
      </w:r>
    </w:p>
    <w:p>
      <w:pPr>
        <w:pStyle w:val="ListParagraph"/>
        <w:numPr>
          <w:ilvl w:val="0"/>
          <w:numId w:val="4"/>
        </w:numPr>
        <w:spacing w:after="80"/>
      </w:pPr>
      <w:r>
        <w:t xml:space="preserve">Security tests: role/permission matrix coverage, masking of KYC/bank fields, audit log presence for every sensitive action, Excel export permission checks.</w:t>
      </w:r>
    </w:p>
    <w:p>
      <w:pPr>
        <w:pStyle w:val="ListParagraph"/>
        <w:numPr>
          <w:ilvl w:val="0"/>
          <w:numId w:val="4"/>
        </w:numPr>
        <w:spacing w:after="80"/>
      </w:pPr>
      <w:r>
        <w:t xml:space="preserve">Load/pagination sanity check on genealogy and list endpoints before go-live.</w:t>
      </w:r>
    </w:p>
    <w:p>
      <w:pPr>
        <w:pStyle w:val="Heading1"/>
        <w:spacing w:after="160" w:before="360"/>
      </w:pPr>
      <w:r>
        <w:t xml:space="preserve">10. Immediate Next Steps (This Week)</w:t>
      </w:r>
    </w:p>
    <w:p>
      <w:pPr>
        <w:pStyle w:val="ListParagraph"/>
        <w:numPr>
          <w:ilvl w:val="0"/>
          <w:numId w:val="5"/>
        </w:numPr>
        <w:spacing w:after="80"/>
      </w:pPr>
      <w:r>
        <w:t xml:space="preserve">Write down answers to the nine open business decisions in Section 1.</w:t>
      </w:r>
    </w:p>
    <w:p>
      <w:pPr>
        <w:pStyle w:val="ListParagraph"/>
        <w:numPr>
          <w:ilvl w:val="0"/>
          <w:numId w:val="5"/>
        </w:numPr>
        <w:spacing w:after="80"/>
      </w:pPr>
      <w:r>
        <w:t xml:space="preserve">Unzip the provided starter scaffold, run docker compose up to bring up Postgres + Redis locally.</w:t>
      </w:r>
    </w:p>
    <w:p>
      <w:pPr>
        <w:pStyle w:val="ListParagraph"/>
        <w:numPr>
          <w:ilvl w:val="0"/>
          <w:numId w:val="5"/>
        </w:numPr>
        <w:spacing w:after="80"/>
      </w:pPr>
      <w:r>
        <w:t xml:space="preserve">Apply schema.sql (or `npx prisma migrate dev` if you convert it to a Prisma schema) and seed one root member.</w:t>
      </w:r>
    </w:p>
    <w:p>
      <w:pPr>
        <w:pStyle w:val="ListParagraph"/>
        <w:numPr>
          <w:ilvl w:val="0"/>
          <w:numId w:val="5"/>
        </w:numPr>
        <w:spacing w:after="80"/>
      </w:pPr>
      <w:r>
        <w:t xml:space="preserve">Build the Auth module first — everything else sits behind it.</w:t>
      </w:r>
    </w:p>
    <w:p>
      <w:pPr>
        <w:pStyle w:val="ListParagraph"/>
        <w:numPr>
          <w:ilvl w:val="0"/>
          <w:numId w:val="5"/>
        </w:numPr>
        <w:spacing w:after="80"/>
      </w:pPr>
      <w:r>
        <w:t xml:space="preserve">Turn on Swagger from day one so the API contract stays documented as you go.</w:t>
      </w:r>
    </w:p>
    <w:p>
      <w:pPr>
        <w:spacing w:after="160"/>
      </w:pPr>
      <w:r>
        <w:t xml:space="preserve"/>
      </w:r>
    </w:p>
    <w:p>
      <w:pPr>
        <w:spacing w:after="160"/>
      </w:pPr>
      <w:r>
        <w:rPr>
          <w:i/>
          <w:iCs/>
          <w:color w:val="595959"/>
        </w:rPr>
        <w:t xml:space="preserve">This guide, schema.sql and the project scaffold are meant to be living documents — update them as business rules get finalized and as you learn more while building. Come back to me at any phase for a deeper design pass, code review, or to work through a specific module together.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Legends MLM —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abstractNum w:abstractNumId="9" w15:restartNumberingAfterBreak="0">
    <w:multiLevelType w:val="hybridMultilevel"/>
    <w:lvl w:ilvl="0" w15:tentative="1">
      <w:start w:val="1"/>
      <w:numFmt w:val="decimal"/>
      <w:lvlText w:val="%1."/>
      <w:lvlJc w:val="left"/>
      <w:pPr>
        <w:ind w:left="504" w:hanging="360"/>
      </w:pPr>
    </w:lvl>
  </w:abstractNum>
  <w:abstractNum w:abstractNumId="10"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2026-08-15T18:13:58.811Z</dcterms:created>
  <dcterms:modified xsi:type="dcterms:W3CDTF">2026-08-15T18:13:58.811Z</dcterms:modified>
</cp:coreProperties>
</file>

<file path=docProps/custom.xml><?xml version="1.0" encoding="utf-8"?>
<Properties xmlns="http://schemas.openxmlformats.org/officeDocument/2006/custom-properties" xmlns:vt="http://schemas.openxmlformats.org/officeDocument/2006/docPropsVTypes"/>
</file>