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S PGothic" w:eastAsia="MS PGothic" w:hAnsi="MS PGothic"/>
          <w:b/>
          <w:bCs/>
          <w:color w:val="1F4E79"/>
          <w:sz w:val="30"/>
          <w:szCs w:val="30"/>
        </w:rPr>
        <w:t xml:space="preserve">第一・第二構造設計G　若手合同勉強会　実施計画（案）</w:t>
      </w:r>
    </w:p>
    <w:p>
      <w:pPr>
        <w:pBdr>
          <w:bottom w:val="single" w:color="1F4E79" w:sz="6"/>
        </w:pBdr>
        <w:spacing w:after="200"/>
        <w:jc w:val="right"/>
      </w:pPr>
      <w:r>
        <w:rPr>
          <w:rFonts w:ascii="MS PGothic" w:eastAsia="MS PGothic" w:hAnsi="MS PGothic"/>
          <w:color w:val="595959"/>
          <w:sz w:val="18"/>
          <w:szCs w:val="18"/>
        </w:rPr>
        <w:t xml:space="preserve">2026年　　月　　日／構造設計部</w:t>
      </w:r>
    </w:p>
    <w:p>
      <w:pPr>
        <w:pBdr>
          <w:bottom w:val="single" w:color="1F4E79" w:sz="2"/>
        </w:pBdr>
        <w:shd w:fill="1F4E79" w:val="clear"/>
        <w:spacing w:after="120" w:before="260"/>
      </w:pPr>
      <w:r>
        <w:rPr>
          <w:rFonts w:ascii="MS PGothic" w:eastAsia="MS PGothic" w:hAnsi="MS PGothic"/>
          <w:b/>
          <w:bCs/>
          <w:color w:val="FFFFFF"/>
          <w:sz w:val="24"/>
          <w:szCs w:val="24"/>
        </w:rPr>
        <w:t xml:space="preserve">  1. 背景</w:t>
      </w:r>
    </w:p>
    <w:p>
      <w:pPr>
        <w:spacing w:after="80" w:before="0" w:line="300"/>
      </w:pPr>
      <w:r>
        <w:rPr>
          <w:rFonts w:ascii="MS PGothic" w:eastAsia="MS PGothic" w:hAnsi="MS PGothic"/>
          <w:sz w:val="21"/>
          <w:szCs w:val="21"/>
        </w:rPr>
        <w:t xml:space="preserve">人材育成ガイドラインでは、育成目標のひとつに「S造とRC造の両構造を経験することで組織および技術者としての対応力を強化する」ことを掲げている。</w:t>
      </w:r>
    </w:p>
    <w:p>
      <w:pPr>
        <w:spacing w:after="80" w:before="0" w:line="300"/>
      </w:pPr>
      <w:r>
        <w:rPr>
          <w:rFonts w:ascii="MS PGothic" w:eastAsia="MS PGothic" w:hAnsi="MS PGothic"/>
          <w:sz w:val="21"/>
          <w:szCs w:val="21"/>
        </w:rPr>
        <w:t xml:space="preserve">一方で、両グループは構造形式ごとに業務が分かれており、若手が相手グループの構造形式に触れる機会は限られているのが現状である。そこで、ガイドラインの内容に沿って両グループの若手が相互に解説し合う合同勉強会を実施したい。</w:t>
      </w:r>
    </w:p>
    <w:p>
      <w:pPr>
        <w:pBdr>
          <w:bottom w:val="single" w:color="1F4E79" w:sz="2"/>
        </w:pBdr>
        <w:shd w:fill="1F4E79" w:val="clear"/>
        <w:spacing w:after="120" w:before="260"/>
      </w:pPr>
      <w:r>
        <w:rPr>
          <w:rFonts w:ascii="MS PGothic" w:eastAsia="MS PGothic" w:hAnsi="MS PGothic"/>
          <w:b/>
          <w:bCs/>
          <w:color w:val="FFFFFF"/>
          <w:sz w:val="24"/>
          <w:szCs w:val="24"/>
        </w:rPr>
        <w:t xml:space="preserve">  2. 目的</w:t>
      </w:r>
    </w:p>
    <w:p>
      <w:pPr>
        <w:pStyle w:val="ListParagraph"/>
        <w:numPr>
          <w:ilvl w:val="0"/>
          <w:numId w:val="2"/>
        </w:numPr>
        <w:spacing w:after="70" w:before="0" w:line="300"/>
      </w:pPr>
      <w:r>
        <w:rPr>
          <w:rFonts w:ascii="MS PGothic" w:eastAsia="MS PGothic" w:hAnsi="MS PGothic"/>
          <w:sz w:val="21"/>
          <w:szCs w:val="21"/>
        </w:rPr>
        <w:t xml:space="preserve">グループ間の人材異動を円滑に進められるよう、互いの構造形式の設計の考え方と勘所について理解を深める。</w:t>
      </w:r>
    </w:p>
    <w:p>
      <w:pPr>
        <w:pStyle w:val="ListParagraph"/>
        <w:numPr>
          <w:ilvl w:val="0"/>
          <w:numId w:val="2"/>
        </w:numPr>
        <w:spacing w:after="70" w:before="0" w:line="300"/>
      </w:pPr>
      <w:r>
        <w:rPr>
          <w:rFonts w:ascii="MS PGothic" w:eastAsia="MS PGothic" w:hAnsi="MS PGothic"/>
          <w:sz w:val="21"/>
          <w:szCs w:val="21"/>
        </w:rPr>
        <w:t xml:space="preserve">若手同士が率直に質問・意見交換できる関係を築き、グループ間の連携を強化する。</w:t>
      </w:r>
    </w:p>
    <w:p>
      <w:pPr>
        <w:pStyle w:val="ListParagraph"/>
        <w:numPr>
          <w:ilvl w:val="0"/>
          <w:numId w:val="2"/>
        </w:numPr>
        <w:spacing w:after="70" w:before="0" w:line="300"/>
      </w:pPr>
      <w:r>
        <w:rPr>
          <w:rFonts w:ascii="MS PGothic" w:eastAsia="MS PGothic" w:hAnsi="MS PGothic"/>
          <w:sz w:val="21"/>
          <w:szCs w:val="21"/>
        </w:rPr>
        <w:t xml:space="preserve">若手が他者に説明する機会をつくり、自らの理解を確かなものにするとともに、説明力を高める。</w:t>
      </w:r>
    </w:p>
    <w:p>
      <w:pPr>
        <w:pBdr>
          <w:bottom w:val="single" w:color="1F4E79" w:sz="2"/>
        </w:pBdr>
        <w:shd w:fill="1F4E79" w:val="clear"/>
        <w:spacing w:after="120" w:before="260"/>
      </w:pPr>
      <w:r>
        <w:rPr>
          <w:rFonts w:ascii="MS PGothic" w:eastAsia="MS PGothic" w:hAnsi="MS PGothic"/>
          <w:b/>
          <w:bCs/>
          <w:color w:val="FFFFFF"/>
          <w:sz w:val="24"/>
          <w:szCs w:val="24"/>
        </w:rPr>
        <w:t xml:space="preserve">  3. カリキュラムの構成</w:t>
      </w:r>
    </w:p>
    <w:p>
      <w:pPr>
        <w:spacing w:after="80" w:before="0" w:line="300"/>
      </w:pPr>
      <w:r>
        <w:rPr>
          <w:rFonts w:ascii="MS PGothic" w:eastAsia="MS PGothic" w:hAnsi="MS PGothic"/>
          <w:sz w:val="21"/>
          <w:szCs w:val="21"/>
        </w:rPr>
        <w:t xml:space="preserve">次の3つを柱とする。</w:t>
      </w:r>
    </w:p>
    <w:p>
      <w:pPr>
        <w:pStyle w:val="ListParagraph"/>
        <w:numPr>
          <w:ilvl w:val="0"/>
          <w:numId w:val="2"/>
        </w:numPr>
        <w:spacing w:after="70" w:before="0" w:line="300"/>
      </w:pPr>
      <w:r>
        <w:rPr>
          <w:rFonts w:ascii="MS PGothic" w:eastAsia="MS PGothic" w:hAnsi="MS PGothic"/>
          <w:sz w:val="21"/>
          <w:szCs w:val="21"/>
        </w:rPr>
        <w:t xml:space="preserve">人材育成ガイドラインのRC造・S造に関する内容について、S造は第一構造設計Gが第二構造設計Gへ、RC造は第二構造設計Gが第一構造設計Gへ解説する。両グループが共通で用いる「地盤基本・基礎構造」は、両グループ混合で担当する。</w:t>
      </w:r>
    </w:p>
    <w:p>
      <w:pPr>
        <w:pStyle w:val="ListParagraph"/>
        <w:numPr>
          <w:ilvl w:val="0"/>
          <w:numId w:val="2"/>
        </w:numPr>
        <w:spacing w:after="70" w:before="0" w:line="300"/>
      </w:pPr>
      <w:r>
        <w:rPr>
          <w:rFonts w:ascii="MS PGothic" w:eastAsia="MS PGothic" w:hAnsi="MS PGothic"/>
          <w:sz w:val="21"/>
          <w:szCs w:val="21"/>
        </w:rPr>
        <w:t xml:space="preserve">自身が担当した物件の概要、苦労した点、構造的に工夫した点、審査機関・施主の指摘対応、および設計時・施工時の失敗事例や不具合事例を共有する。</w:t>
      </w:r>
    </w:p>
    <w:p>
      <w:pPr>
        <w:pStyle w:val="ListParagraph"/>
        <w:numPr>
          <w:ilvl w:val="0"/>
          <w:numId w:val="2"/>
        </w:numPr>
        <w:spacing w:after="70" w:before="0" w:line="300"/>
      </w:pPr>
      <w:r>
        <w:rPr>
          <w:rFonts w:ascii="MS PGothic" w:eastAsia="MS PGothic" w:hAnsi="MS PGothic"/>
          <w:sz w:val="21"/>
          <w:szCs w:val="21"/>
        </w:rPr>
        <w:t xml:space="preserve">検査G・監理Gのご協力をいただき、製品検査および配筋検査のチェックポイントを解説いただく。</w:t>
      </w:r>
    </w:p>
    <w:p>
      <w:pPr>
        <w:pBdr>
          <w:bottom w:val="single" w:color="1F4E79" w:sz="2"/>
        </w:pBdr>
        <w:shd w:fill="1F4E79" w:val="clear"/>
        <w:spacing w:after="120" w:before="260"/>
      </w:pPr>
      <w:r>
        <w:rPr>
          <w:rFonts w:ascii="MS PGothic" w:eastAsia="MS PGothic" w:hAnsi="MS PGothic"/>
          <w:b/>
          <w:bCs/>
          <w:color w:val="FFFFFF"/>
          <w:sz w:val="24"/>
          <w:szCs w:val="24"/>
        </w:rPr>
        <w:t xml:space="preserve">  4. 実施概要</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000"/>
        <w:gridCol w:w="7026"/>
      </w:tblGrid>
      <w:tr>
        <w:trPr>
          <w:tblHeader/>
        </w:trPr>
        <w:tc>
          <w:tcPr>
            <w:tcW w:type="dxa" w:w="2000"/>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項目</w:t>
            </w:r>
          </w:p>
        </w:tc>
        <w:tc>
          <w:tcPr>
            <w:tcW w:type="dxa" w:w="7026"/>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内容</w:t>
            </w:r>
          </w:p>
        </w:tc>
      </w:tr>
      <w:tr>
        <w:tc>
          <w:tcPr>
            <w:tcW w:type="dxa" w:w="20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b/>
                <w:bCs/>
                <w:sz w:val="18"/>
                <w:szCs w:val="18"/>
              </w:rPr>
              <w:t xml:space="preserve">期間</w:t>
            </w:r>
          </w:p>
        </w:tc>
        <w:tc>
          <w:tcPr>
            <w:tcW w:type="dxa" w:w="70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2026年9月17日（木）〜 2027年3月18日（木）</w:t>
            </w:r>
          </w:p>
        </w:tc>
      </w:tr>
      <w:tr>
        <w:tc>
          <w:tcPr>
            <w:tcW w:type="dxa" w:w="20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b/>
                <w:bCs/>
                <w:sz w:val="18"/>
                <w:szCs w:val="18"/>
              </w:rPr>
              <w:t xml:space="preserve">頻度・曜日</w:t>
            </w:r>
          </w:p>
        </w:tc>
        <w:tc>
          <w:tcPr>
            <w:tcW w:type="dxa" w:w="70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隔週 木曜日（全14回：ガイダンス1回＋勉強会13回）</w:t>
            </w:r>
          </w:p>
        </w:tc>
      </w:tr>
      <w:tr>
        <w:tc>
          <w:tcPr>
            <w:tcW w:type="dxa" w:w="20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b/>
                <w:bCs/>
                <w:sz w:val="18"/>
                <w:szCs w:val="18"/>
              </w:rPr>
              <w:t xml:space="preserve">対象</w:t>
            </w:r>
          </w:p>
        </w:tc>
        <w:tc>
          <w:tcPr>
            <w:tcW w:type="dxa" w:w="70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第一構造設計G・第二構造設計G の若手職員</w:t>
            </w:r>
          </w:p>
        </w:tc>
      </w:tr>
      <w:tr>
        <w:tc>
          <w:tcPr>
            <w:tcW w:type="dxa" w:w="20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b/>
                <w:bCs/>
                <w:sz w:val="18"/>
                <w:szCs w:val="18"/>
              </w:rPr>
              <w:t xml:space="preserve">解説担当</w:t>
            </w:r>
          </w:p>
        </w:tc>
        <w:tc>
          <w:tcPr>
            <w:tcW w:type="dxa" w:w="70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各回の解説は担当グループの若手職員が持ち回りで務める</w:t>
            </w:r>
          </w:p>
        </w:tc>
      </w:tr>
      <w:tr>
        <w:tc>
          <w:tcPr>
            <w:tcW w:type="dxa" w:w="20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b/>
                <w:bCs/>
                <w:sz w:val="18"/>
                <w:szCs w:val="18"/>
              </w:rPr>
              <w:t xml:space="preserve">指導者</w:t>
            </w:r>
          </w:p>
        </w:tc>
        <w:tc>
          <w:tcPr>
            <w:tcW w:type="dxa" w:w="70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担当者と同一グループの中堅職員が、資料作成と当日の補足を担当する</w:t>
            </w:r>
          </w:p>
        </w:tc>
      </w:tr>
    </w:tbl>
    <w:p>
      <w:pPr>
        <w:pBdr>
          <w:bottom w:val="single" w:color="1F4E79" w:sz="2"/>
        </w:pBdr>
        <w:shd w:fill="1F4E79" w:val="clear"/>
        <w:spacing w:after="120" w:before="260"/>
      </w:pPr>
      <w:r>
        <w:rPr>
          <w:rFonts w:ascii="MS PGothic" w:eastAsia="MS PGothic" w:hAnsi="MS PGothic"/>
          <w:b/>
          <w:bCs/>
          <w:color w:val="FFFFFF"/>
          <w:sz w:val="24"/>
          <w:szCs w:val="24"/>
        </w:rPr>
        <w:t xml:space="preserve">  5. 1回あたりの進め方（案）</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000"/>
        <w:gridCol w:w="1100"/>
        <w:gridCol w:w="5926"/>
      </w:tblGrid>
      <w:tr>
        <w:trPr>
          <w:tblHeader/>
        </w:trPr>
        <w:tc>
          <w:tcPr>
            <w:tcW w:type="dxa" w:w="2000"/>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区分</w:t>
            </w:r>
          </w:p>
        </w:tc>
        <w:tc>
          <w:tcPr>
            <w:tcW w:type="dxa" w:w="1100"/>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時間</w:t>
            </w:r>
          </w:p>
        </w:tc>
        <w:tc>
          <w:tcPr>
            <w:tcW w:type="dxa" w:w="5926"/>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内容</w:t>
            </w:r>
          </w:p>
        </w:tc>
      </w:tr>
      <w:tr>
        <w:tc>
          <w:tcPr>
            <w:tcW w:type="dxa" w:w="20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b/>
                <w:bCs/>
                <w:sz w:val="18"/>
                <w:szCs w:val="18"/>
              </w:rPr>
              <w:t xml:space="preserve">① 解説</w:t>
            </w:r>
          </w:p>
        </w:tc>
        <w:tc>
          <w:tcPr>
            <w:tcW w:type="dxa" w:w="1100"/>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60分</w:t>
            </w:r>
          </w:p>
        </w:tc>
        <w:tc>
          <w:tcPr>
            <w:tcW w:type="dxa" w:w="59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人材育成ガイドラインのスキルマップ項目を、担当グループの若手が解説する</w:t>
            </w:r>
          </w:p>
        </w:tc>
      </w:tr>
      <w:tr>
        <w:tc>
          <w:tcPr>
            <w:tcW w:type="dxa" w:w="20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b/>
                <w:bCs/>
                <w:sz w:val="18"/>
                <w:szCs w:val="18"/>
              </w:rPr>
              <w:t xml:space="preserve">② 質疑・意見交換</w:t>
            </w:r>
          </w:p>
        </w:tc>
        <w:tc>
          <w:tcPr>
            <w:tcW w:type="dxa" w:w="1100"/>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15分</w:t>
            </w:r>
          </w:p>
        </w:tc>
        <w:tc>
          <w:tcPr>
            <w:tcW w:type="dxa" w:w="59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聞き手側のグループから質問し、両者で議論する</w:t>
            </w:r>
          </w:p>
        </w:tc>
      </w:tr>
      <w:tr>
        <w:tc>
          <w:tcPr>
            <w:tcW w:type="dxa" w:w="20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b/>
                <w:bCs/>
                <w:sz w:val="18"/>
                <w:szCs w:val="18"/>
              </w:rPr>
              <w:t xml:space="preserve">③ 事例共有</w:t>
            </w:r>
          </w:p>
        </w:tc>
        <w:tc>
          <w:tcPr>
            <w:tcW w:type="dxa" w:w="1100"/>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15分</w:t>
            </w:r>
          </w:p>
        </w:tc>
        <w:tc>
          <w:tcPr>
            <w:tcW w:type="dxa" w:w="59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担当物件の概要、苦労した点、構造的に工夫した点、審査機関・施主の指摘対応、設計時・施工時の失敗事例や不具合事例を共有する</w:t>
            </w:r>
          </w:p>
        </w:tc>
      </w:tr>
    </w:tbl>
    <w:p>
      <w:pPr>
        <w:spacing w:after="0"/>
      </w:pPr>
      <w:r>
        <w:rPr>
          <w:rFonts w:ascii="MS PGothic" w:eastAsia="MS PGothic" w:hAnsi="MS PGothic"/>
          <w:sz w:val="21"/>
          <w:szCs w:val="21"/>
        </w:rPr>
        <w:t xml:space="preserve"/>
      </w:r>
    </w:p>
    <w:p>
      <w:pPr>
        <w:pBdr>
          <w:bottom w:val="single" w:color="1F4E79" w:sz="2"/>
        </w:pBdr>
        <w:shd w:fill="1F4E79" w:val="clear"/>
        <w:spacing w:after="120" w:before="260"/>
      </w:pPr>
      <w:r>
        <w:rPr>
          <w:rFonts w:ascii="MS PGothic" w:eastAsia="MS PGothic" w:hAnsi="MS PGothic"/>
          <w:b/>
          <w:bCs/>
          <w:color w:val="FFFFFF"/>
          <w:sz w:val="24"/>
          <w:szCs w:val="24"/>
        </w:rPr>
        <w:t xml:space="preserve">  6. 年間スケジュール</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700"/>
        <w:gridCol w:w="1100"/>
        <w:gridCol w:w="900"/>
        <w:gridCol w:w="3626"/>
        <w:gridCol w:w="2700"/>
      </w:tblGrid>
      <w:tr>
        <w:trPr>
          <w:tblHeader/>
        </w:trPr>
        <w:tc>
          <w:tcPr>
            <w:tcW w:type="dxa" w:w="700"/>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回</w:t>
            </w:r>
          </w:p>
        </w:tc>
        <w:tc>
          <w:tcPr>
            <w:tcW w:type="dxa" w:w="1100"/>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実施日</w:t>
            </w:r>
          </w:p>
        </w:tc>
        <w:tc>
          <w:tcPr>
            <w:tcW w:type="dxa" w:w="900"/>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区分</w:t>
            </w:r>
          </w:p>
        </w:tc>
        <w:tc>
          <w:tcPr>
            <w:tcW w:type="dxa" w:w="3626"/>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解説項目</w:t>
            </w:r>
          </w:p>
        </w:tc>
        <w:tc>
          <w:tcPr>
            <w:tcW w:type="dxa" w:w="2700"/>
            <w:shd w:fill="2E75B6" w:val="clear"/>
            <w:tcMar>
              <w:top w:type="dxa" w:w="60"/>
              <w:left w:type="dxa" w:w="90"/>
              <w:bottom w:type="dxa" w:w="60"/>
              <w:right w:type="dxa" w:w="90"/>
            </w:tcMar>
            <w:vAlign w:val="center"/>
          </w:tcPr>
          <w:p>
            <w:pPr>
              <w:spacing w:after="0" w:before="0" w:line="260"/>
              <w:jc w:val="center"/>
            </w:pPr>
            <w:r>
              <w:rPr>
                <w:rFonts w:ascii="MS PGothic" w:eastAsia="MS PGothic" w:hAnsi="MS PGothic"/>
                <w:b/>
                <w:bCs/>
                <w:color w:val="FFFFFF"/>
                <w:sz w:val="18"/>
                <w:szCs w:val="18"/>
              </w:rPr>
              <w:t xml:space="preserve">担当</w:t>
            </w:r>
          </w:p>
        </w:tc>
      </w:tr>
      <w:tr>
        <w:tc>
          <w:tcPr>
            <w:tcW w:type="dxa" w:w="700"/>
            <w:shd w:fill="FCE4D6"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w:t>
            </w:r>
          </w:p>
        </w:tc>
        <w:tc>
          <w:tcPr>
            <w:tcW w:type="dxa" w:w="1100"/>
            <w:shd w:fill="FCE4D6"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9/17</w:t>
            </w:r>
          </w:p>
        </w:tc>
        <w:tc>
          <w:tcPr>
            <w:tcW w:type="dxa" w:w="900"/>
            <w:shd w:fill="FCE4D6"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ガイダンス（趣旨説明・進め方・担当割当）</w:t>
            </w:r>
          </w:p>
        </w:tc>
        <w:tc>
          <w:tcPr>
            <w:tcW w:type="dxa" w:w="2700"/>
            <w:shd w:fill="FCE4D6"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両G合同</w:t>
            </w:r>
          </w:p>
        </w:tc>
      </w:tr>
      <w:tr>
        <w:tc>
          <w:tcPr>
            <w:tcW w:type="dxa" w:w="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w:t>
            </w:r>
          </w:p>
        </w:tc>
        <w:tc>
          <w:tcPr>
            <w:tcW w:type="dxa" w:w="11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10/01</w:t>
            </w:r>
          </w:p>
        </w:tc>
        <w:tc>
          <w:tcPr>
            <w:tcW w:type="dxa" w:w="9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③-1</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RC造基本</w:t>
            </w:r>
          </w:p>
        </w:tc>
        <w:tc>
          <w:tcPr>
            <w:tcW w:type="dxa" w:w="2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第二構造設計G</w:t>
            </w:r>
          </w:p>
        </w:tc>
      </w:tr>
      <w:tr>
        <w:tc>
          <w:tcPr>
            <w:tcW w:type="dxa" w:w="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2</w:t>
            </w:r>
          </w:p>
        </w:tc>
        <w:tc>
          <w:tcPr>
            <w:tcW w:type="dxa" w:w="11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10/15</w:t>
            </w:r>
          </w:p>
        </w:tc>
        <w:tc>
          <w:tcPr>
            <w:tcW w:type="dxa" w:w="9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③-2</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S造基本</w:t>
            </w:r>
          </w:p>
        </w:tc>
        <w:tc>
          <w:tcPr>
            <w:tcW w:type="dxa" w:w="2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第一構造設計G</w:t>
            </w:r>
          </w:p>
        </w:tc>
      </w:tr>
      <w:tr>
        <w:tc>
          <w:tcPr>
            <w:tcW w:type="dxa" w:w="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3</w:t>
            </w:r>
          </w:p>
        </w:tc>
        <w:tc>
          <w:tcPr>
            <w:tcW w:type="dxa" w:w="11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10/29</w:t>
            </w:r>
          </w:p>
        </w:tc>
        <w:tc>
          <w:tcPr>
            <w:tcW w:type="dxa" w:w="9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④-1</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RC造二次部材 ①</w:t>
            </w:r>
          </w:p>
        </w:tc>
        <w:tc>
          <w:tcPr>
            <w:tcW w:type="dxa" w:w="2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第二構造設計G</w:t>
            </w:r>
          </w:p>
        </w:tc>
      </w:tr>
      <w:tr>
        <w:tc>
          <w:tcPr>
            <w:tcW w:type="dxa" w:w="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4</w:t>
            </w:r>
          </w:p>
        </w:tc>
        <w:tc>
          <w:tcPr>
            <w:tcW w:type="dxa" w:w="11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11/12</w:t>
            </w:r>
          </w:p>
        </w:tc>
        <w:tc>
          <w:tcPr>
            <w:tcW w:type="dxa" w:w="9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④-2</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S造二次部材</w:t>
            </w:r>
          </w:p>
        </w:tc>
        <w:tc>
          <w:tcPr>
            <w:tcW w:type="dxa" w:w="2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第一構造設計G</w:t>
            </w:r>
          </w:p>
        </w:tc>
      </w:tr>
      <w:tr>
        <w:tc>
          <w:tcPr>
            <w:tcW w:type="dxa" w:w="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5</w:t>
            </w:r>
          </w:p>
        </w:tc>
        <w:tc>
          <w:tcPr>
            <w:tcW w:type="dxa" w:w="11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11/26</w:t>
            </w:r>
          </w:p>
        </w:tc>
        <w:tc>
          <w:tcPr>
            <w:tcW w:type="dxa" w:w="9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④-1</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RC造二次部材 ②</w:t>
            </w:r>
          </w:p>
        </w:tc>
        <w:tc>
          <w:tcPr>
            <w:tcW w:type="dxa" w:w="2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第二構造設計G</w:t>
            </w:r>
          </w:p>
        </w:tc>
      </w:tr>
      <w:tr>
        <w:tc>
          <w:tcPr>
            <w:tcW w:type="dxa" w:w="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6</w:t>
            </w:r>
          </w:p>
        </w:tc>
        <w:tc>
          <w:tcPr>
            <w:tcW w:type="dxa" w:w="11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12/10</w:t>
            </w:r>
          </w:p>
        </w:tc>
        <w:tc>
          <w:tcPr>
            <w:tcW w:type="dxa" w:w="9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⑤-2</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S造上部構造 ①</w:t>
            </w:r>
          </w:p>
        </w:tc>
        <w:tc>
          <w:tcPr>
            <w:tcW w:type="dxa" w:w="2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第一構造設計G</w:t>
            </w:r>
          </w:p>
        </w:tc>
      </w:tr>
      <w:tr>
        <w:tc>
          <w:tcPr>
            <w:tcW w:type="dxa" w:w="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7</w:t>
            </w:r>
          </w:p>
        </w:tc>
        <w:tc>
          <w:tcPr>
            <w:tcW w:type="dxa" w:w="11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12/24</w:t>
            </w:r>
          </w:p>
        </w:tc>
        <w:tc>
          <w:tcPr>
            <w:tcW w:type="dxa" w:w="9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⑤-1</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RC造上部構造 ①</w:t>
            </w:r>
          </w:p>
        </w:tc>
        <w:tc>
          <w:tcPr>
            <w:tcW w:type="dxa" w:w="2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第二構造設計G</w:t>
            </w:r>
          </w:p>
        </w:tc>
      </w:tr>
      <w:tr>
        <w:tc>
          <w:tcPr>
            <w:tcW w:type="dxa" w:w="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8</w:t>
            </w:r>
          </w:p>
        </w:tc>
        <w:tc>
          <w:tcPr>
            <w:tcW w:type="dxa" w:w="11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1/07</w:t>
            </w:r>
          </w:p>
        </w:tc>
        <w:tc>
          <w:tcPr>
            <w:tcW w:type="dxa" w:w="9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⑤-2</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S造上部構造 ②</w:t>
            </w:r>
          </w:p>
        </w:tc>
        <w:tc>
          <w:tcPr>
            <w:tcW w:type="dxa" w:w="2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第一構造設計G</w:t>
            </w:r>
          </w:p>
        </w:tc>
      </w:tr>
      <w:tr>
        <w:tc>
          <w:tcPr>
            <w:tcW w:type="dxa" w:w="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9</w:t>
            </w:r>
          </w:p>
        </w:tc>
        <w:tc>
          <w:tcPr>
            <w:tcW w:type="dxa" w:w="11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1/21</w:t>
            </w:r>
          </w:p>
        </w:tc>
        <w:tc>
          <w:tcPr>
            <w:tcW w:type="dxa" w:w="9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⑤-1</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RC造上部構造 ②</w:t>
            </w:r>
          </w:p>
        </w:tc>
        <w:tc>
          <w:tcPr>
            <w:tcW w:type="dxa" w:w="2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第二構造設計G</w:t>
            </w:r>
          </w:p>
        </w:tc>
      </w:tr>
      <w:tr>
        <w:tc>
          <w:tcPr>
            <w:tcW w:type="dxa" w:w="700"/>
            <w:shd w:fill="FFF2CC"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10</w:t>
            </w:r>
          </w:p>
        </w:tc>
        <w:tc>
          <w:tcPr>
            <w:tcW w:type="dxa" w:w="1100"/>
            <w:shd w:fill="FFF2CC"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2/04</w:t>
            </w:r>
          </w:p>
        </w:tc>
        <w:tc>
          <w:tcPr>
            <w:tcW w:type="dxa" w:w="900"/>
            <w:shd w:fill="FFF2CC"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⑥</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地盤基本・基礎構造 ①</w:t>
            </w:r>
          </w:p>
        </w:tc>
        <w:tc>
          <w:tcPr>
            <w:tcW w:type="dxa" w:w="2700"/>
            <w:shd w:fill="FFF2CC"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両G混合</w:t>
            </w:r>
          </w:p>
        </w:tc>
      </w:tr>
      <w:tr>
        <w:tc>
          <w:tcPr>
            <w:tcW w:type="dxa" w:w="700"/>
            <w:shd w:fill="FFF2CC"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11</w:t>
            </w:r>
          </w:p>
        </w:tc>
        <w:tc>
          <w:tcPr>
            <w:tcW w:type="dxa" w:w="1100"/>
            <w:shd w:fill="FFF2CC"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2/18</w:t>
            </w:r>
          </w:p>
        </w:tc>
        <w:tc>
          <w:tcPr>
            <w:tcW w:type="dxa" w:w="900"/>
            <w:shd w:fill="FFF2CC"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⑥</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地盤基本・基礎構造 ②</w:t>
            </w:r>
          </w:p>
        </w:tc>
        <w:tc>
          <w:tcPr>
            <w:tcW w:type="dxa" w:w="2700"/>
            <w:shd w:fill="FFF2CC"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両G混合</w:t>
            </w:r>
          </w:p>
        </w:tc>
      </w:tr>
      <w:tr>
        <w:tc>
          <w:tcPr>
            <w:tcW w:type="dxa" w:w="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12</w:t>
            </w:r>
          </w:p>
        </w:tc>
        <w:tc>
          <w:tcPr>
            <w:tcW w:type="dxa" w:w="11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3/04</w:t>
            </w:r>
          </w:p>
        </w:tc>
        <w:tc>
          <w:tcPr>
            <w:tcW w:type="dxa" w:w="9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⑨-2</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S造監理（＋検査G 天野氏）</w:t>
            </w:r>
          </w:p>
        </w:tc>
        <w:tc>
          <w:tcPr>
            <w:tcW w:type="dxa" w:w="2700"/>
            <w:shd w:fill="E2EFDA"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第一構造設計G</w:t>
            </w:r>
          </w:p>
        </w:tc>
      </w:tr>
      <w:tr>
        <w:tc>
          <w:tcPr>
            <w:tcW w:type="dxa" w:w="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13</w:t>
            </w:r>
          </w:p>
        </w:tc>
        <w:tc>
          <w:tcPr>
            <w:tcW w:type="dxa" w:w="11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3/18</w:t>
            </w:r>
          </w:p>
        </w:tc>
        <w:tc>
          <w:tcPr>
            <w:tcW w:type="dxa" w:w="9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⑨-1</w:t>
            </w:r>
          </w:p>
        </w:tc>
        <w:tc>
          <w:tcPr>
            <w:tcW w:type="dxa" w:w="3626"/>
            <w:tcMar>
              <w:top w:type="dxa" w:w="60"/>
              <w:left w:type="dxa" w:w="90"/>
              <w:bottom w:type="dxa" w:w="60"/>
              <w:right w:type="dxa" w:w="90"/>
            </w:tcMar>
            <w:vAlign w:val="center"/>
          </w:tcPr>
          <w:p>
            <w:pPr>
              <w:spacing w:after="0" w:before="0" w:line="260"/>
              <w:jc w:val="left"/>
            </w:pPr>
            <w:r>
              <w:rPr>
                <w:rFonts w:ascii="MS PGothic" w:eastAsia="MS PGothic" w:hAnsi="MS PGothic"/>
                <w:sz w:val="18"/>
                <w:szCs w:val="18"/>
              </w:rPr>
              <w:t xml:space="preserve">RC造監理（＋監理G 宮嵜氏）</w:t>
            </w:r>
          </w:p>
        </w:tc>
        <w:tc>
          <w:tcPr>
            <w:tcW w:type="dxa" w:w="2700"/>
            <w:shd w:fill="DEEBF7" w:val="clear"/>
            <w:tcMar>
              <w:top w:type="dxa" w:w="60"/>
              <w:left w:type="dxa" w:w="90"/>
              <w:bottom w:type="dxa" w:w="60"/>
              <w:right w:type="dxa" w:w="90"/>
            </w:tcMar>
            <w:vAlign w:val="center"/>
          </w:tcPr>
          <w:p>
            <w:pPr>
              <w:spacing w:after="0" w:before="0" w:line="260"/>
              <w:jc w:val="center"/>
            </w:pPr>
            <w:r>
              <w:rPr>
                <w:rFonts w:ascii="MS PGothic" w:eastAsia="MS PGothic" w:hAnsi="MS PGothic"/>
                <w:sz w:val="18"/>
                <w:szCs w:val="18"/>
              </w:rPr>
              <w:t xml:space="preserve">第二構造設計G</w:t>
            </w:r>
          </w:p>
        </w:tc>
      </w:tr>
    </w:tbl>
    <w:p>
      <w:pPr>
        <w:spacing w:after="60" w:before="100"/>
      </w:pPr>
      <w:r>
        <w:rPr>
          <w:rFonts w:ascii="MS PGothic" w:eastAsia="MS PGothic" w:hAnsi="MS PGothic"/>
          <w:color w:val="595959"/>
          <w:sz w:val="17"/>
          <w:szCs w:val="17"/>
        </w:rPr>
        <w:t xml:space="preserve">※ 解説は第二構造設計G・第一構造設計Gが交互に担当する（⑥地盤基本・基礎構造の2回は両G混合のため対象外）。</w:t>
      </w:r>
    </w:p>
    <w:p>
      <w:pPr>
        <w:spacing w:after="60"/>
      </w:pPr>
      <w:r>
        <w:rPr>
          <w:rFonts w:ascii="MS PGothic" w:eastAsia="MS PGothic" w:hAnsi="MS PGothic"/>
          <w:color w:val="595959"/>
          <w:sz w:val="17"/>
          <w:szCs w:val="17"/>
        </w:rPr>
        <w:t xml:space="preserve">※ 12/24・1/7 は年末年始に近接するため、業務状況により振替を検討する。</w:t>
      </w:r>
    </w:p>
    <w:p>
      <w:pPr>
        <w:pBdr>
          <w:bottom w:val="single" w:color="1F4E79" w:sz="2"/>
        </w:pBdr>
        <w:shd w:fill="1F4E79" w:val="clear"/>
        <w:spacing w:after="120" w:before="260"/>
      </w:pPr>
      <w:r>
        <w:rPr>
          <w:rFonts w:ascii="MS PGothic" w:eastAsia="MS PGothic" w:hAnsi="MS PGothic"/>
          <w:b/>
          <w:bCs/>
          <w:color w:val="FFFFFF"/>
          <w:sz w:val="24"/>
          <w:szCs w:val="24"/>
        </w:rPr>
        <w:t xml:space="preserve">  7. 期待する効果</w:t>
      </w:r>
    </w:p>
    <w:p>
      <w:pPr>
        <w:pStyle w:val="ListParagraph"/>
        <w:numPr>
          <w:ilvl w:val="0"/>
          <w:numId w:val="2"/>
        </w:numPr>
        <w:spacing w:after="70" w:before="0" w:line="300"/>
      </w:pPr>
      <w:r>
        <w:rPr>
          <w:rFonts w:ascii="MS PGothic" w:eastAsia="MS PGothic" w:hAnsi="MS PGothic"/>
          <w:sz w:val="21"/>
          <w:szCs w:val="21"/>
        </w:rPr>
        <w:t xml:space="preserve">異動時に相手グループの構造形式へ早期に対応でき、立ち上がりが早くなる。</w:t>
      </w:r>
    </w:p>
    <w:p>
      <w:pPr>
        <w:pStyle w:val="ListParagraph"/>
        <w:numPr>
          <w:ilvl w:val="0"/>
          <w:numId w:val="2"/>
        </w:numPr>
        <w:spacing w:after="70" w:before="0" w:line="300"/>
      </w:pPr>
      <w:r>
        <w:rPr>
          <w:rFonts w:ascii="MS PGothic" w:eastAsia="MS PGothic" w:hAnsi="MS PGothic"/>
          <w:sz w:val="21"/>
          <w:szCs w:val="21"/>
        </w:rPr>
        <w:t xml:space="preserve">失敗事例・不具合事例を組織で共有することで、同種の不具合の再発を防ぐ。</w:t>
      </w:r>
    </w:p>
    <w:p>
      <w:pPr>
        <w:pStyle w:val="ListParagraph"/>
        <w:numPr>
          <w:ilvl w:val="0"/>
          <w:numId w:val="2"/>
        </w:numPr>
        <w:spacing w:after="70" w:before="0" w:line="300"/>
      </w:pPr>
      <w:r>
        <w:rPr>
          <w:rFonts w:ascii="MS PGothic" w:eastAsia="MS PGothic" w:hAnsi="MS PGothic"/>
          <w:sz w:val="21"/>
          <w:szCs w:val="21"/>
        </w:rPr>
        <w:t xml:space="preserve">作成した解説資料を蓄積し、次年度以降の教育資料として活用できる。</w:t>
      </w:r>
    </w:p>
    <w:p>
      <w:pPr>
        <w:pStyle w:val="ListParagraph"/>
        <w:numPr>
          <w:ilvl w:val="0"/>
          <w:numId w:val="2"/>
        </w:numPr>
        <w:spacing w:after="70" w:before="0" w:line="300"/>
      </w:pPr>
      <w:r>
        <w:rPr>
          <w:rFonts w:ascii="MS PGothic" w:eastAsia="MS PGothic" w:hAnsi="MS PGothic"/>
          <w:sz w:val="21"/>
          <w:szCs w:val="21"/>
        </w:rPr>
        <w:t xml:space="preserve">若手が説明する経験を重ねることで、社内外への説明力が向上する。</w:t>
      </w:r>
    </w:p>
    <w:p>
      <w:pPr>
        <w:pBdr>
          <w:bottom w:val="single" w:color="1F4E79" w:sz="2"/>
        </w:pBdr>
        <w:shd w:fill="1F4E79" w:val="clear"/>
        <w:spacing w:after="120" w:before="260"/>
      </w:pPr>
      <w:r>
        <w:rPr>
          <w:rFonts w:ascii="MS PGothic" w:eastAsia="MS PGothic" w:hAnsi="MS PGothic"/>
          <w:b/>
          <w:bCs/>
          <w:color w:val="FFFFFF"/>
          <w:sz w:val="24"/>
          <w:szCs w:val="24"/>
        </w:rPr>
        <w:t xml:space="preserve">  8. ご相談事項</w:t>
      </w:r>
    </w:p>
    <w:p>
      <w:pPr>
        <w:pStyle w:val="ListParagraph"/>
        <w:numPr>
          <w:ilvl w:val="0"/>
          <w:numId w:val="2"/>
        </w:numPr>
        <w:spacing w:after="70" w:before="0" w:line="300"/>
      </w:pPr>
      <w:r>
        <w:rPr>
          <w:rFonts w:ascii="MS PGothic" w:eastAsia="MS PGothic" w:hAnsi="MS PGothic"/>
          <w:sz w:val="21"/>
          <w:szCs w:val="21"/>
        </w:rPr>
        <w:t xml:space="preserve">検査G（天野氏）・監理G（宮嵜氏）へのご協力依頼について、ご調整をお願いしたい。</w:t>
      </w:r>
    </w:p>
    <w:p>
      <w:pPr>
        <w:pStyle w:val="ListParagraph"/>
        <w:numPr>
          <w:ilvl w:val="0"/>
          <w:numId w:val="2"/>
        </w:numPr>
        <w:spacing w:after="70" w:before="0" w:line="300"/>
      </w:pPr>
      <w:r>
        <w:rPr>
          <w:rFonts w:ascii="MS PGothic" w:eastAsia="MS PGothic" w:hAnsi="MS PGothic"/>
          <w:sz w:val="21"/>
          <w:szCs w:val="21"/>
        </w:rPr>
        <w:t xml:space="preserve">開催時間帯および会場の確保について、ご承認をお願いしたい。</w:t>
      </w:r>
    </w:p>
    <w:p>
      <w:pPr>
        <w:pStyle w:val="ListParagraph"/>
        <w:numPr>
          <w:ilvl w:val="0"/>
          <w:numId w:val="2"/>
        </w:numPr>
        <w:spacing w:after="70" w:before="0" w:line="300"/>
      </w:pPr>
      <w:r>
        <w:rPr>
          <w:rFonts w:ascii="MS PGothic" w:eastAsia="MS PGothic" w:hAnsi="MS PGothic"/>
          <w:sz w:val="21"/>
          <w:szCs w:val="21"/>
        </w:rPr>
        <w:t xml:space="preserve">各回の指導者となる中堅職員の配置について、ご相談させていただきたい。</w:t>
      </w:r>
    </w:p>
    <w:p>
      <w:pPr>
        <w:spacing w:before="200"/>
        <w:jc w:val="right"/>
      </w:pPr>
      <w:r>
        <w:rPr>
          <w:rFonts w:ascii="MS PGothic" w:eastAsia="MS PGothic" w:hAnsi="MS PGothic"/>
          <w:sz w:val="21"/>
          <w:szCs w:val="21"/>
        </w:rPr>
        <w:t xml:space="preserve">以上</w:t>
      </w:r>
    </w:p>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rPr>
        <w:rFonts w:ascii="MS PGothic" w:eastAsia="MS PGothic" w:hAnsi="MS PGothi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2026-08-27T23:35:16.854Z</dcterms:created>
  <dcterms:modified xsi:type="dcterms:W3CDTF">2026-08-27T23:35:16.854Z</dcterms:modified>
</cp:coreProperties>
</file>

<file path=docProps/custom.xml><?xml version="1.0" encoding="utf-8"?>
<Properties xmlns="http://schemas.openxmlformats.org/officeDocument/2006/custom-properties" xmlns:vt="http://schemas.openxmlformats.org/officeDocument/2006/docPropsVTypes"/>
</file>