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0"/>
      </w:pPr>
    </w:p>
    <w:p>
      <w:pPr>
        <w:spacing w:after="120"/>
        <w:jc w:val="center"/>
      </w:pPr>
      <w:r>
        <w:rPr>
          <w:rFonts w:ascii="Arial" w:cs="Arial" w:eastAsia="Arial" w:hAnsi="Arial"/>
          <w:b/>
          <w:bCs/>
          <w:color w:val="1a1a1a"/>
          <w:sz w:val="36"/>
          <w:szCs w:val="36"/>
        </w:rPr>
        <w:t xml:space="preserve">Toward a Circulatory Theory of Governance Stability</w:t>
      </w:r>
    </w:p>
    <w:p>
      <w:pPr>
        <w:spacing w:before="200" w:after="200"/>
      </w:pPr>
    </w:p>
    <w:p>
      <w:pPr>
        <w:spacing w:after="80"/>
        <w:jc w:val="center"/>
      </w:pPr>
      <w:r>
        <w:rPr>
          <w:rFonts w:ascii="Georgia" w:cs="Georgia" w:eastAsia="Georgia" w:hAnsi="Georgia"/>
          <w:i/>
          <w:iCs/>
          <w:color w:val="555555"/>
          <w:sz w:val="24"/>
          <w:szCs w:val="24"/>
        </w:rPr>
        <w:t xml:space="preserve">Circulatory Pressure Architectures and the Erosion of Civic Systems</w:t>
      </w:r>
    </w:p>
    <w:p>
      <w:pPr>
        <w:spacing w:before="100" w:after="100"/>
      </w:pPr>
    </w:p>
    <w:p>
      <w:pPr>
        <w:spacing w:after="80"/>
        <w:jc w:val="center"/>
      </w:pPr>
      <w:r>
        <w:rPr>
          <w:rFonts w:ascii="Georgia" w:cs="Georgia" w:eastAsia="Georgia" w:hAnsi="Georgia"/>
          <w:i/>
          <w:iCs/>
          <w:color w:val="777777"/>
          <w:sz w:val="20"/>
          <w:szCs w:val="20"/>
        </w:rPr>
        <w:t xml:space="preserve">A structural thesis derived from the Polymorphic Matrix of Systemic Political Pressure</w:t>
      </w:r>
    </w:p>
    <w:p>
      <w:pPr>
        <w:spacing w:before="400" w:after="400"/>
      </w:pPr>
    </w:p>
    <w:p>
      <w:pPr>
        <w:spacing w:after="40"/>
        <w:jc w:val="center"/>
      </w:pPr>
      <w:r>
        <w:rPr>
          <w:rFonts w:ascii="Arial" w:cs="Arial" w:eastAsia="Arial" w:hAnsi="Arial"/>
          <w:color w:val="666666"/>
          <w:sz w:val="20"/>
          <w:szCs w:val="20"/>
        </w:rPr>
        <w:t xml:space="preserve">B. Greenway</w:t>
      </w:r>
    </w:p>
    <w:p>
      <w:pPr>
        <w:spacing w:after="40"/>
        <w:jc w:val="center"/>
      </w:pPr>
      <w:r>
        <w:rPr>
          <w:rFonts w:ascii="Arial" w:cs="Arial" w:eastAsia="Arial" w:hAnsi="Arial"/>
          <w:color w:val="666666"/>
          <w:sz w:val="20"/>
          <w:szCs w:val="20"/>
        </w:rPr>
        <w:t xml:space="preserve">ThinkWell Labs</w:t>
      </w:r>
    </w:p>
    <w:p>
      <w:pPr>
        <w:spacing w:after="40"/>
        <w:jc w:val="center"/>
      </w:pPr>
      <w:r>
        <w:rPr>
          <w:rFonts w:ascii="Arial" w:cs="Arial" w:eastAsia="Arial" w:hAnsi="Arial"/>
          <w:color w:val="666666"/>
          <w:sz w:val="20"/>
          <w:szCs w:val="20"/>
        </w:rPr>
        <w:t xml:space="preserve">2026</w:t>
      </w:r>
    </w:p>
    <w:p>
      <w:pPr>
        <w:spacing w:before="300" w:after="300"/>
      </w:pPr>
    </w:p>
    <w:p>
      <w:pPr>
        <w:jc w:val="center"/>
      </w:pPr>
      <w:r>
        <w:rPr>
          <w:rFonts w:ascii="Consolas" w:cs="Consolas" w:eastAsia="Consolas" w:hAnsi="Consolas"/>
          <w:color w:val="2255aa"/>
          <w:sz w:val="18"/>
          <w:szCs w:val="18"/>
        </w:rPr>
        <w:t xml:space="preserve">Interactive model: polymorphic-matrix.surge.sh</w:t>
      </w:r>
    </w:p>
    <w:p>
      <w:r>
        <w:br w:type="page"/>
      </w:r>
    </w:p>
    <w:p>
      <w:pPr>
        <w:pStyle w:val="Heading2"/>
        <w:spacing w:before="400" w:after="200"/>
      </w:pPr>
      <w:r>
        <w:rPr>
          <w:rFonts w:ascii="Arial" w:cs="Arial" w:eastAsia="Arial" w:hAnsi="Arial"/>
          <w:b/>
          <w:bCs/>
          <w:sz w:val="28"/>
          <w:szCs w:val="28"/>
        </w:rPr>
        <w:t xml:space="preserve">Abstract</w:t>
      </w:r>
    </w:p>
    <w:p>
      <w:pPr>
        <w:spacing w:after="200" w:line="360"/>
      </w:pPr>
      <w:r>
        <w:rPr>
          <w:rFonts w:ascii="Georgia" w:cs="Georgia" w:eastAsia="Georgia" w:hAnsi="Georgia"/>
          <w:sz w:val="22"/>
          <w:szCs w:val="22"/>
        </w:rPr>
        <w:t xml:space="preserve">This paper advances a systems-level thesis: modern political destabilization is less the result of isolated policy failure or leadership deficit than of </w:t>
      </w:r>
      <w:r>
        <w:rPr>
          <w:rFonts w:ascii="Georgia" w:cs="Georgia" w:eastAsia="Georgia" w:hAnsi="Georgia"/>
          <w:b/>
          <w:bCs/>
          <w:sz w:val="22"/>
          <w:szCs w:val="22"/>
        </w:rPr>
        <w:t xml:space="preserve">circulatory pressure architectures</w:t>
      </w:r>
      <w:r>
        <w:rPr>
          <w:rFonts w:ascii="Georgia" w:cs="Georgia" w:eastAsia="Georgia" w:hAnsi="Georgia"/>
          <w:sz w:val="22"/>
          <w:szCs w:val="22"/>
        </w:rPr>
        <w:t xml:space="preserve"> — interacting force fields that propagate through economic, cognitive, institutional, covert, and legitimacy domains. The Polymorphic Matrix visualization examined here models these forces as a toroidal topology in which pressure vectors continually circulate, couple, and re-enter the system through feedback loops.</w:t>
      </w:r>
    </w:p>
    <w:p>
      <w:pPr>
        <w:spacing w:after="200" w:line="360"/>
      </w:pPr>
      <w:r>
        <w:rPr>
          <w:rFonts w:ascii="Georgia" w:cs="Georgia" w:eastAsia="Georgia" w:hAnsi="Georgia"/>
          <w:sz w:val="22"/>
          <w:szCs w:val="22"/>
        </w:rPr>
        <w:t xml:space="preserve">The model suggests that civic erosion emerges as an </w:t>
      </w:r>
      <w:r>
        <w:rPr>
          <w:rFonts w:ascii="Georgia" w:cs="Georgia" w:eastAsia="Georgia" w:hAnsi="Georgia"/>
          <w:b/>
          <w:bCs/>
          <w:sz w:val="22"/>
          <w:szCs w:val="22"/>
        </w:rPr>
        <w:t xml:space="preserve">emergent network effect</w:t>
      </w:r>
      <w:r>
        <w:rPr>
          <w:rFonts w:ascii="Georgia" w:cs="Georgia" w:eastAsia="Georgia" w:hAnsi="Georgia"/>
          <w:sz w:val="22"/>
          <w:szCs w:val="22"/>
        </w:rPr>
        <w:t xml:space="preserve"> rather than a linear causal chain. Understanding the topology and interaction mechanisms of these pressure flows provides a diagnostic framework for identifying early systemic degradation and for designing stabilization interventions.</w:t>
      </w:r>
    </w:p>
    <w:p>
      <w:pPr>
        <w:spacing w:after="200" w:line="360"/>
      </w:pPr>
      <w:r>
        <w:rPr>
          <w:rFonts w:ascii="Georgia" w:cs="Georgia" w:eastAsia="Georgia" w:hAnsi="Georgia"/>
          <w:sz w:val="22"/>
          <w:szCs w:val="22"/>
        </w:rPr>
        <w:t xml:space="preserve">The accompanying interactive visualization — a 3D toroidal systems model containing 62 mechanism nodes, approximately 200 edges across seven connection types, and eight systemic feedback loops — serves as both the evidentiary basis for this thesis and an exploratory instrument for navigating the pressure architecture described herein. It is available for public inspection at polymorphic-matrix.surge.sh.</w:t>
      </w:r>
    </w:p>
    <w:p>
      <w:pPr>
        <w:pBdr>
          <w:bottom w:val="single" w:color="999999" w:sz="1" w:space="8"/>
        </w:pBdr>
        <w:spacing w:after="300"/>
      </w:pPr>
    </w:p>
    <w:p>
      <w:pPr>
        <w:pStyle w:val="Heading2"/>
        <w:spacing w:before="400" w:after="200"/>
      </w:pPr>
      <w:r>
        <w:rPr>
          <w:rFonts w:ascii="Arial" w:cs="Arial" w:eastAsia="Arial" w:hAnsi="Arial"/>
          <w:b/>
          <w:bCs/>
          <w:sz w:val="28"/>
          <w:szCs w:val="28"/>
        </w:rPr>
        <w:t xml:space="preserve">1. Conceptual Premise</w:t>
      </w:r>
    </w:p>
    <w:p>
      <w:pPr>
        <w:spacing w:after="200" w:line="360"/>
      </w:pPr>
      <w:r>
        <w:rPr>
          <w:rFonts w:ascii="Georgia" w:cs="Georgia" w:eastAsia="Georgia" w:hAnsi="Georgia"/>
          <w:sz w:val="22"/>
          <w:szCs w:val="22"/>
        </w:rPr>
        <w:t xml:space="preserve">Political systems are traditionally analyzed through discrete variables: elections, fiscal policy, security threats, social movements. This thesis reframes governance environments as </w:t>
      </w:r>
      <w:r>
        <w:rPr>
          <w:rFonts w:ascii="Georgia" w:cs="Georgia" w:eastAsia="Georgia" w:hAnsi="Georgia"/>
          <w:b/>
          <w:bCs/>
          <w:sz w:val="22"/>
          <w:szCs w:val="22"/>
        </w:rPr>
        <w:t xml:space="preserve">dynamic stress ecosystems</w:t>
      </w:r>
      <w:r>
        <w:rPr>
          <w:rFonts w:ascii="Georgia" w:cs="Georgia" w:eastAsia="Georgia" w:hAnsi="Georgia"/>
          <w:sz w:val="22"/>
          <w:szCs w:val="22"/>
        </w:rPr>
        <w:t xml:space="preserve"> in which pressures operate simultaneously across multiple domains.</w:t>
      </w:r>
    </w:p>
    <w:p>
      <w:pPr>
        <w:spacing w:after="200" w:line="360"/>
      </w:pPr>
      <w:r>
        <w:rPr>
          <w:rFonts w:ascii="Georgia" w:cs="Georgia" w:eastAsia="Georgia" w:hAnsi="Georgia"/>
          <w:sz w:val="22"/>
          <w:szCs w:val="22"/>
        </w:rPr>
        <w:t xml:space="preserve">The central proposition is:</w:t>
      </w:r>
    </w:p>
    <w:p>
      <w:pPr>
        <w:pBdr>
          <w:left w:val="single" w:color="2255aa" w:sz="3" w:space="12"/>
        </w:pBdr>
        <w:spacing w:before="200" w:after="200" w:line="360"/>
        <w:ind w:left="720" w:right="720"/>
      </w:pPr>
      <w:r>
        <w:rPr>
          <w:rFonts w:ascii="Georgia" w:cs="Georgia" w:eastAsia="Georgia" w:hAnsi="Georgia"/>
          <w:i/>
          <w:iCs/>
          <w:color w:val="333333"/>
          <w:sz w:val="22"/>
          <w:szCs w:val="22"/>
        </w:rPr>
        <w:t xml:space="preserve">Systemic decline arises when interacting pressure vectors synchronize into self-reinforcing circulation patterns that degrade institutional resilience faster than adaptive capacity can recover.</w:t>
      </w:r>
    </w:p>
    <w:p>
      <w:pPr>
        <w:spacing w:after="200" w:line="360"/>
      </w:pPr>
      <w:r>
        <w:rPr>
          <w:rFonts w:ascii="Georgia" w:cs="Georgia" w:eastAsia="Georgia" w:hAnsi="Georgia"/>
          <w:sz w:val="22"/>
          <w:szCs w:val="22"/>
        </w:rPr>
        <w:t xml:space="preserve">The matrix model provides a geometric language for this proposition. Instead of depicting pressure as directional or hierarchical, it portrays influence as </w:t>
      </w:r>
      <w:r>
        <w:rPr>
          <w:rFonts w:ascii="Georgia" w:cs="Georgia" w:eastAsia="Georgia" w:hAnsi="Georgia"/>
          <w:b/>
          <w:bCs/>
          <w:sz w:val="22"/>
          <w:szCs w:val="22"/>
        </w:rPr>
        <w:t xml:space="preserve">orbital and recursive</w:t>
      </w:r>
      <w:r>
        <w:rPr>
          <w:rFonts w:ascii="Georgia" w:cs="Georgia" w:eastAsia="Georgia" w:hAnsi="Georgia"/>
          <w:sz w:val="22"/>
          <w:szCs w:val="22"/>
        </w:rPr>
        <w:t xml:space="preserve">, emphasizing persistence over event-based disruption.</w:t>
      </w:r>
    </w:p>
    <w:p>
      <w:pPr>
        <w:spacing w:after="200" w:line="360"/>
      </w:pPr>
      <w:r>
        <w:rPr>
          <w:rFonts w:ascii="Georgia" w:cs="Georgia" w:eastAsia="Georgia" w:hAnsi="Georgia"/>
          <w:sz w:val="22"/>
          <w:szCs w:val="22"/>
        </w:rPr>
        <w:t xml:space="preserve">This reframing carries a specific analytical consequence: it shifts attention from crisis narratives — which presuppose singular causes, discrete timelines, and identifiable turning points — to </w:t>
      </w:r>
      <w:r>
        <w:rPr>
          <w:rFonts w:ascii="Georgia" w:cs="Georgia" w:eastAsia="Georgia" w:hAnsi="Georgia"/>
          <w:b/>
          <w:bCs/>
          <w:sz w:val="22"/>
          <w:szCs w:val="22"/>
        </w:rPr>
        <w:t xml:space="preserve">phase-shift narratives</w:t>
      </w:r>
      <w:r>
        <w:rPr>
          <w:rFonts w:ascii="Georgia" w:cs="Georgia" w:eastAsia="Georgia" w:hAnsi="Georgia"/>
          <w:sz w:val="22"/>
          <w:szCs w:val="22"/>
        </w:rPr>
        <w:t xml:space="preserve">, in which systems do not suddenly fail but drift toward instability as pressure density and coupling increase. The relevant question is not “what caused the crisis” but “when did the circulation pattern become self-sustaining.”</w:t>
      </w:r>
    </w:p>
    <w:p>
      <w:pPr>
        <w:pBdr>
          <w:bottom w:val="single" w:color="999999" w:sz="1" w:space="8"/>
        </w:pBdr>
        <w:spacing w:after="300"/>
      </w:pPr>
    </w:p>
    <w:p>
      <w:pPr>
        <w:pStyle w:val="Heading2"/>
        <w:spacing w:before="400" w:after="200"/>
      </w:pPr>
      <w:r>
        <w:rPr>
          <w:rFonts w:ascii="Arial" w:cs="Arial" w:eastAsia="Arial" w:hAnsi="Arial"/>
          <w:b/>
          <w:bCs/>
          <w:sz w:val="28"/>
          <w:szCs w:val="28"/>
        </w:rPr>
        <w:t xml:space="preserve">2. Topological Framework: Toroidal Circulation</w:t>
      </w:r>
    </w:p>
    <w:p>
      <w:pPr>
        <w:spacing w:after="200" w:line="360"/>
      </w:pPr>
      <w:r>
        <w:rPr>
          <w:rFonts w:ascii="Georgia" w:cs="Georgia" w:eastAsia="Georgia" w:hAnsi="Georgia"/>
          <w:sz w:val="22"/>
          <w:szCs w:val="22"/>
        </w:rPr>
        <w:t xml:space="preserve">The visualization encodes systemic pressure within a torus-like flow architecture. This topology was not selected for aesthetic effect. It emerged from a structural observation: the data required it. Linear and hierarchical models consistently failed to represent the recursive, self-reinforcing dynamics that define the system under analysis. The toroidal form conveys three structural insights that no planar or tree-structured model can encode.</w:t>
      </w:r>
    </w:p>
    <w:p>
      <w:pPr>
        <w:spacing w:after="200" w:line="360"/>
      </w:pPr>
      <w:r>
        <w:rPr>
          <w:rFonts w:ascii="Georgia" w:cs="Georgia" w:eastAsia="Georgia" w:hAnsi="Georgia"/>
          <w:sz w:val="22"/>
          <w:szCs w:val="22"/>
        </w:rPr>
        <w:t xml:space="preserve">First, pressures </w:t>
      </w:r>
      <w:r>
        <w:rPr>
          <w:rFonts w:ascii="Georgia" w:cs="Georgia" w:eastAsia="Georgia" w:hAnsi="Georgia"/>
          <w:b/>
          <w:bCs/>
          <w:sz w:val="22"/>
          <w:szCs w:val="22"/>
        </w:rPr>
        <w:t xml:space="preserve">do not dissipate at the edges of a system</w:t>
      </w:r>
      <w:r>
        <w:rPr>
          <w:rFonts w:ascii="Georgia" w:cs="Georgia" w:eastAsia="Georgia" w:hAnsi="Georgia"/>
          <w:sz w:val="22"/>
          <w:szCs w:val="22"/>
        </w:rPr>
        <w:t xml:space="preserve">. They recirculate. Outcomes of erosion feed back into the mechanisms that generated them. Democratic erosion enables further plutocratic consolidation. Epistemic collapse simplifies future narrative control. The output of each cycle becomes the input of the next.</w:t>
      </w:r>
    </w:p>
    <w:p>
      <w:pPr>
        <w:spacing w:after="200" w:line="360"/>
      </w:pPr>
      <w:r>
        <w:rPr>
          <w:rFonts w:ascii="Georgia" w:cs="Georgia" w:eastAsia="Georgia" w:hAnsi="Georgia"/>
          <w:sz w:val="22"/>
          <w:szCs w:val="22"/>
        </w:rPr>
        <w:t xml:space="preserve">Second, stability is not located at the center. The center is described as a </w:t>
      </w:r>
      <w:r>
        <w:rPr>
          <w:rFonts w:ascii="Georgia" w:cs="Georgia" w:eastAsia="Georgia" w:hAnsi="Georgia"/>
          <w:b/>
          <w:bCs/>
          <w:sz w:val="22"/>
          <w:szCs w:val="22"/>
        </w:rPr>
        <w:t xml:space="preserve">dense convergence field</w:t>
      </w:r>
      <w:r>
        <w:rPr>
          <w:rFonts w:ascii="Georgia" w:cs="Georgia" w:eastAsia="Georgia" w:hAnsi="Georgia"/>
          <w:sz w:val="22"/>
          <w:szCs w:val="22"/>
        </w:rPr>
        <w:t xml:space="preserve">, indicating concentration of interaction energy rather than neutrality. The Matrix Interaction Field is the zone of highest causal density in the system — the region where independent pressure vectors lose their independence and begin producing compound effects that cannot be attributed to any single vector.</w:t>
      </w:r>
    </w:p>
    <w:p>
      <w:pPr>
        <w:spacing w:after="200" w:line="360"/>
      </w:pPr>
      <w:r>
        <w:rPr>
          <w:rFonts w:ascii="Georgia" w:cs="Georgia" w:eastAsia="Georgia" w:hAnsi="Georgia"/>
          <w:sz w:val="22"/>
          <w:szCs w:val="22"/>
        </w:rPr>
        <w:t xml:space="preserve">Third, degradation is cyclical rather than episodic. The minor ring process — pressure apparatus → interaction field → systemic erosion → feedback — forms a continuous operational loop.</w:t>
      </w:r>
    </w:p>
    <w:p>
      <w:pPr>
        <w:spacing w:after="200" w:line="360"/>
      </w:pPr>
      <w:r>
        <w:rPr>
          <w:rFonts w:ascii="Georgia" w:cs="Georgia" w:eastAsia="Georgia" w:hAnsi="Georgia"/>
          <w:sz w:val="22"/>
          <w:szCs w:val="22"/>
        </w:rPr>
        <w:t xml:space="preserve">In analytic terms, the toroidal model replaces crisis narratives with </w:t>
      </w:r>
      <w:r>
        <w:rPr>
          <w:rFonts w:ascii="Georgia" w:cs="Georgia" w:eastAsia="Georgia" w:hAnsi="Georgia"/>
          <w:b/>
          <w:bCs/>
          <w:sz w:val="22"/>
          <w:szCs w:val="22"/>
        </w:rPr>
        <w:t xml:space="preserve">phase-shift narratives</w:t>
      </w:r>
      <w:r>
        <w:rPr>
          <w:rFonts w:ascii="Georgia" w:cs="Georgia" w:eastAsia="Georgia" w:hAnsi="Georgia"/>
          <w:sz w:val="22"/>
          <w:szCs w:val="22"/>
        </w:rPr>
        <w:t xml:space="preserve">. Systems do not suddenly fail; they drift toward instability as pressure density and coupling increase.</w:t>
      </w:r>
    </w:p>
    <w:p>
      <w:pPr>
        <w:pBdr>
          <w:bottom w:val="single" w:color="999999" w:sz="1" w:space="8"/>
        </w:pBdr>
        <w:spacing w:after="300"/>
      </w:pPr>
    </w:p>
    <w:p>
      <w:pPr>
        <w:pStyle w:val="Heading2"/>
        <w:spacing w:before="400" w:after="200"/>
      </w:pPr>
      <w:r>
        <w:rPr>
          <w:rFonts w:ascii="Arial" w:cs="Arial" w:eastAsia="Arial" w:hAnsi="Arial"/>
          <w:b/>
          <w:bCs/>
          <w:sz w:val="28"/>
          <w:szCs w:val="28"/>
        </w:rPr>
        <w:t xml:space="preserve">3. Pressure Vector Domains: A Case Analysis</w:t>
      </w:r>
    </w:p>
    <w:p>
      <w:pPr>
        <w:spacing w:after="200" w:line="360"/>
      </w:pPr>
      <w:r>
        <w:rPr>
          <w:rFonts w:ascii="Georgia" w:cs="Georgia" w:eastAsia="Georgia" w:hAnsi="Georgia"/>
          <w:sz w:val="22"/>
          <w:szCs w:val="22"/>
        </w:rPr>
        <w:t xml:space="preserve">The matrix identifies five principal pressure families, each associated with a characteristic degradation trajectory. Rather than enumerate them abstractly, this section traces a single historical period — the 2008 financial crisis and its decade-long aftermath — through all five vectors simultaneously, demonstrating how the model operates on empirical material.</w:t>
      </w:r>
    </w:p>
    <w:p>
      <w:pPr>
        <w:pStyle w:val="Heading3"/>
        <w:spacing w:before="300" w:after="150"/>
      </w:pPr>
      <w:r>
        <w:rPr>
          <w:rFonts w:ascii="Arial" w:cs="Arial" w:eastAsia="Arial" w:hAnsi="Arial"/>
          <w:b/>
          <w:bCs/>
          <w:sz w:val="24"/>
          <w:szCs w:val="24"/>
        </w:rPr>
        <w:t xml:space="preserve">3.1 Economic Pressure: The Extraction Cascade</w:t>
      </w:r>
    </w:p>
    <w:p>
      <w:pPr>
        <w:spacing w:after="200" w:line="360"/>
      </w:pPr>
      <w:r>
        <w:rPr>
          <w:rFonts w:ascii="Georgia" w:cs="Georgia" w:eastAsia="Georgia" w:hAnsi="Georgia"/>
          <w:sz w:val="22"/>
          <w:szCs w:val="22"/>
        </w:rPr>
        <w:t xml:space="preserve">The proximate trigger was financial: asset management hegemony (concentrated in institutions whose portfolios exceeded the GDP of most nations) created systemic fragility through leveraged derivatives markets. When the cascade began, the response — bank bailouts funded by public revenue — converted private loss into public debt, activating the extractive exploitation mechanism. Austerity policies followed, not as economic necessity but as the lobbying infrastructure’s preferred outcome: reduced public spending preserves low-tax environments for capital accumulation. The economic vector did not produce a crisis and stop. It produced a </w:t>
      </w:r>
      <w:r>
        <w:rPr>
          <w:rFonts w:ascii="Georgia" w:cs="Georgia" w:eastAsia="Georgia" w:hAnsi="Georgia"/>
          <w:b/>
          <w:bCs/>
          <w:sz w:val="22"/>
          <w:szCs w:val="22"/>
        </w:rPr>
        <w:t xml:space="preserve">structural rearrangement</w:t>
      </w:r>
      <w:r>
        <w:rPr>
          <w:rFonts w:ascii="Georgia" w:cs="Georgia" w:eastAsia="Georgia" w:hAnsi="Georgia"/>
          <w:sz w:val="22"/>
          <w:szCs w:val="22"/>
        </w:rPr>
        <w:t xml:space="preserve"> that persists two decades later.</w:t>
      </w:r>
    </w:p>
    <w:p>
      <w:pPr>
        <w:pStyle w:val="Heading3"/>
        <w:spacing w:before="300" w:after="150"/>
      </w:pPr>
      <w:r>
        <w:rPr>
          <w:rFonts w:ascii="Arial" w:cs="Arial" w:eastAsia="Arial" w:hAnsi="Arial"/>
          <w:b/>
          <w:bCs/>
          <w:sz w:val="24"/>
          <w:szCs w:val="24"/>
        </w:rPr>
        <w:t xml:space="preserve">3.2 Cognitive Pressure: The Epistemic Fracture</w:t>
      </w:r>
    </w:p>
    <w:p>
      <w:pPr>
        <w:spacing w:after="200" w:line="360"/>
      </w:pPr>
      <w:r>
        <w:rPr>
          <w:rFonts w:ascii="Georgia" w:cs="Georgia" w:eastAsia="Georgia" w:hAnsi="Georgia"/>
          <w:sz w:val="22"/>
          <w:szCs w:val="22"/>
        </w:rPr>
        <w:t xml:space="preserve">The same period saw the maturation of algorithmic governance in information ecosystems. Social media platforms, optimizing for engagement, produced information flooding and spectacle saturation as structural byproducts. Narrative control shifted from editorial gatekeeping to algorithmic amplification — a transition that fragmented shared epistemic frameworks. By 2016, perception management had become industrialized: coordinated influence operations exploited the same algorithmic infrastructure that commercial actors used for advertising. Strategic opacity — the deliberate obscuring of causal chains — became a competitive advantage rather than a liability.</w:t>
      </w:r>
    </w:p>
    <w:p>
      <w:pPr>
        <w:pStyle w:val="Heading3"/>
        <w:spacing w:before="300" w:after="150"/>
      </w:pPr>
      <w:r>
        <w:rPr>
          <w:rFonts w:ascii="Arial" w:cs="Arial" w:eastAsia="Arial" w:hAnsi="Arial"/>
          <w:b/>
          <w:bCs/>
          <w:sz w:val="24"/>
          <w:szCs w:val="24"/>
        </w:rPr>
        <w:t xml:space="preserve">3.3 Institutional Pressure: The Capture Sequence</w:t>
      </w:r>
    </w:p>
    <w:p>
      <w:pPr>
        <w:spacing w:after="200" w:line="360"/>
      </w:pPr>
      <w:r>
        <w:rPr>
          <w:rFonts w:ascii="Georgia" w:cs="Georgia" w:eastAsia="Georgia" w:hAnsi="Georgia"/>
          <w:sz w:val="22"/>
          <w:szCs w:val="22"/>
        </w:rPr>
        <w:t xml:space="preserve">Post-2008 regulatory reform was systematically weakened through the coupling mechanism the model identifies: lobbying infrastructure → regulatory capture → procedural gatekeeping. The Dodd-Frank Act, designed to prevent recurrence, was progressively hollowed through administrative fragmentation — implementation rules were delayed, defunded, or rewritten through bureaucratic entrenchment. Technocratic governance consolidated: decisions were displaced from elected bodies to unaccountable technical committees, producing the democratic deficit that the institutional vector predicts.</w:t>
      </w:r>
    </w:p>
    <w:p>
      <w:pPr>
        <w:pStyle w:val="Heading3"/>
        <w:spacing w:before="300" w:after="150"/>
      </w:pPr>
      <w:r>
        <w:rPr>
          <w:rFonts w:ascii="Arial" w:cs="Arial" w:eastAsia="Arial" w:hAnsi="Arial"/>
          <w:b/>
          <w:bCs/>
          <w:sz w:val="24"/>
          <w:szCs w:val="24"/>
        </w:rPr>
        <w:t xml:space="preserve">3.4 Covert Pressure: The Sovereignty Gradient</w:t>
      </w:r>
    </w:p>
    <w:p>
      <w:pPr>
        <w:spacing w:after="200" w:line="360"/>
      </w:pPr>
      <w:r>
        <w:rPr>
          <w:rFonts w:ascii="Georgia" w:cs="Georgia" w:eastAsia="Georgia" w:hAnsi="Georgia"/>
          <w:sz w:val="22"/>
          <w:szCs w:val="22"/>
        </w:rPr>
        <w:t xml:space="preserve">The post-2008 period also accelerated intelligence dominance in domestic governance. Mass surveillance programs, revealed in 2013 but operational years earlier, demonstrated that covert pressure vectors had achieved structural integration with institutional infrastructure. The coupling between cryptocracy and coercive leverage — the use of surveillance-derived information as political leverage — was no longer theoretical. Puppet governance and blackmail networks, while difficult to document with the same precision as economic flows, operated within the structural conditions the model describes.</w:t>
      </w:r>
    </w:p>
    <w:p>
      <w:pPr>
        <w:pStyle w:val="Heading3"/>
        <w:spacing w:before="300" w:after="150"/>
      </w:pPr>
      <w:r>
        <w:rPr>
          <w:rFonts w:ascii="Arial" w:cs="Arial" w:eastAsia="Arial" w:hAnsi="Arial"/>
          <w:b/>
          <w:bCs/>
          <w:sz w:val="24"/>
          <w:szCs w:val="24"/>
        </w:rPr>
        <w:t xml:space="preserve">3.5 Legitimacy Pressure: The Identity Engine</w:t>
      </w:r>
    </w:p>
    <w:p>
      <w:pPr>
        <w:spacing w:after="200" w:line="360"/>
      </w:pPr>
      <w:r>
        <w:rPr>
          <w:rFonts w:ascii="Georgia" w:cs="Georgia" w:eastAsia="Georgia" w:hAnsi="Georgia"/>
          <w:sz w:val="22"/>
          <w:szCs w:val="22"/>
        </w:rPr>
        <w:t xml:space="preserve">Economic precarity (vector 1) combined with epistemic fragmentation (vector 2) created optimal conditions for fear mobilization and identity polarization (vector 5). The tea party movement and subsequently the populist realignment of 2015–2016 demonstrated how supremacy ideology and mythic nostalgia could be activated when economic and cognitive pressures lowered the threshold. Evangelical institutional capture — the organized takeover of school boards, judicial appointments, and legislative staffing — provided the institutional transmission mechanism. The legitimacy vector did not operate in isolation. It exploited the outputs of all four other vectors simultaneously.</w:t>
      </w:r>
    </w:p>
    <w:p>
      <w:pPr>
        <w:pStyle w:val="Heading3"/>
        <w:spacing w:before="300" w:after="150"/>
      </w:pPr>
      <w:r>
        <w:rPr>
          <w:rFonts w:ascii="Arial" w:cs="Arial" w:eastAsia="Arial" w:hAnsi="Arial"/>
          <w:b/>
          <w:bCs/>
          <w:sz w:val="24"/>
          <w:szCs w:val="24"/>
        </w:rPr>
        <w:t xml:space="preserve">3.6 Cross-Vector Synchronization</w:t>
      </w:r>
    </w:p>
    <w:p>
      <w:pPr>
        <w:spacing w:after="200" w:line="360"/>
      </w:pPr>
      <w:r>
        <w:rPr>
          <w:rFonts w:ascii="Georgia" w:cs="Georgia" w:eastAsia="Georgia" w:hAnsi="Georgia"/>
          <w:sz w:val="22"/>
          <w:szCs w:val="22"/>
        </w:rPr>
        <w:t xml:space="preserve">The critical observation is that none of these vectors caused the post-2008 trajectory independently. The </w:t>
      </w:r>
      <w:r>
        <w:rPr>
          <w:rFonts w:ascii="Georgia" w:cs="Georgia" w:eastAsia="Georgia" w:hAnsi="Georgia"/>
          <w:b/>
          <w:bCs/>
          <w:sz w:val="22"/>
          <w:szCs w:val="22"/>
        </w:rPr>
        <w:t xml:space="preserve">synchronization</w:t>
      </w:r>
      <w:r>
        <w:rPr>
          <w:rFonts w:ascii="Georgia" w:cs="Georgia" w:eastAsia="Georgia" w:hAnsi="Georgia"/>
          <w:sz w:val="22"/>
          <w:szCs w:val="22"/>
        </w:rPr>
        <w:t xml:space="preserve"> of all five — economic extraction funding narrative infrastructure, algorithmic governance fragmenting epistemic commons, institutional capture preventing regulatory correction, covert mechanisms insulating the apparatus from accountability, and legitimacy pressure redirecting public anger toward identity rather than structure — produced a compound effect that the model represents as convergence at the Matrix Interaction Field.</w:t>
      </w:r>
    </w:p>
    <w:p>
      <w:pPr>
        <w:spacing w:after="200" w:line="360"/>
      </w:pPr>
      <w:r>
        <w:rPr>
          <w:rFonts w:ascii="Georgia" w:cs="Georgia" w:eastAsia="Georgia" w:hAnsi="Georgia"/>
          <w:sz w:val="22"/>
          <w:szCs w:val="22"/>
        </w:rPr>
        <w:t xml:space="preserve">This is what the toroidal topology encodes: not five parallel crises, but one circulatory system operating across five domains.</w:t>
      </w:r>
    </w:p>
    <w:p>
      <w:pPr>
        <w:pBdr>
          <w:bottom w:val="single" w:color="999999" w:sz="1" w:space="8"/>
        </w:pBdr>
        <w:spacing w:after="300"/>
      </w:pPr>
    </w:p>
    <w:p>
      <w:pPr>
        <w:pStyle w:val="Heading2"/>
        <w:spacing w:before="400" w:after="200"/>
      </w:pPr>
      <w:r>
        <w:rPr>
          <w:rFonts w:ascii="Arial" w:cs="Arial" w:eastAsia="Arial" w:hAnsi="Arial"/>
          <w:b/>
          <w:bCs/>
          <w:sz w:val="28"/>
          <w:szCs w:val="28"/>
        </w:rPr>
        <w:t xml:space="preserve">4. Interaction Mechanisms</w:t>
      </w:r>
    </w:p>
    <w:p>
      <w:pPr>
        <w:spacing w:after="200" w:line="360"/>
      </w:pPr>
      <w:r>
        <w:rPr>
          <w:rFonts w:ascii="Georgia" w:cs="Georgia" w:eastAsia="Georgia" w:hAnsi="Georgia"/>
          <w:sz w:val="22"/>
          <w:szCs w:val="22"/>
        </w:rPr>
        <w:t xml:space="preserve">Seven interaction dynamics are embedded in the matrix’s connective structure. They define how pressures propagate and intensify.</w:t>
      </w:r>
    </w:p>
    <w:p>
      <w:pPr>
        <w:spacing w:after="200" w:line="360"/>
      </w:pPr>
      <w:r>
        <w:rPr>
          <w:rFonts w:ascii="Georgia" w:cs="Georgia" w:eastAsia="Georgia" w:hAnsi="Georgia"/>
          <w:b/>
          <w:bCs/>
          <w:sz w:val="22"/>
          <w:szCs w:val="22"/>
        </w:rPr>
        <w:t xml:space="preserve">Structural chains</w:t>
      </w:r>
      <w:r>
        <w:rPr>
          <w:rFonts w:ascii="Georgia" w:cs="Georgia" w:eastAsia="Georgia" w:hAnsi="Georgia"/>
          <w:sz w:val="22"/>
          <w:szCs w:val="22"/>
        </w:rPr>
        <w:t xml:space="preserve"> describe sequential causal pathways, where one stressor reliably initiates another. </w:t>
      </w:r>
      <w:r>
        <w:rPr>
          <w:rFonts w:ascii="Georgia" w:cs="Georgia" w:eastAsia="Georgia" w:hAnsi="Georgia"/>
          <w:b/>
          <w:bCs/>
          <w:sz w:val="22"/>
          <w:szCs w:val="22"/>
        </w:rPr>
        <w:t xml:space="preserve">Radial pressure</w:t>
      </w:r>
      <w:r>
        <w:rPr>
          <w:rFonts w:ascii="Georgia" w:cs="Georgia" w:eastAsia="Georgia" w:hAnsi="Georgia"/>
          <w:sz w:val="22"/>
          <w:szCs w:val="22"/>
        </w:rPr>
        <w:t xml:space="preserve"> illustrates centralization effects — concentrated authority projecting influence outward across multiple domains.</w:t>
      </w:r>
    </w:p>
    <w:p>
      <w:pPr>
        <w:spacing w:after="200" w:line="360"/>
      </w:pPr>
      <w:r>
        <w:rPr>
          <w:rFonts w:ascii="Georgia" w:cs="Georgia" w:eastAsia="Georgia" w:hAnsi="Georgia"/>
          <w:b/>
          <w:bCs/>
          <w:sz w:val="22"/>
          <w:szCs w:val="22"/>
        </w:rPr>
        <w:t xml:space="preserve">Enforcement coupling</w:t>
      </w:r>
      <w:r>
        <w:rPr>
          <w:rFonts w:ascii="Georgia" w:cs="Georgia" w:eastAsia="Georgia" w:hAnsi="Georgia"/>
          <w:sz w:val="22"/>
          <w:szCs w:val="22"/>
        </w:rPr>
        <w:t xml:space="preserve"> reflects coercive or regulatory linkages that synchronize institutional behavior under stress. </w:t>
      </w:r>
      <w:r>
        <w:rPr>
          <w:rFonts w:ascii="Georgia" w:cs="Georgia" w:eastAsia="Georgia" w:hAnsi="Georgia"/>
          <w:b/>
          <w:bCs/>
          <w:sz w:val="22"/>
          <w:szCs w:val="22"/>
        </w:rPr>
        <w:t xml:space="preserve">Cross-vector reinforcement</w:t>
      </w:r>
      <w:r>
        <w:rPr>
          <w:rFonts w:ascii="Georgia" w:cs="Georgia" w:eastAsia="Georgia" w:hAnsi="Georgia"/>
          <w:sz w:val="22"/>
          <w:szCs w:val="22"/>
        </w:rPr>
        <w:t xml:space="preserve"> captures nonlinear amplification when pressures align temporally or ideologically.</w:t>
      </w:r>
    </w:p>
    <w:p>
      <w:pPr>
        <w:spacing w:after="200" w:line="360"/>
      </w:pPr>
      <w:r>
        <w:rPr>
          <w:rFonts w:ascii="Georgia" w:cs="Georgia" w:eastAsia="Georgia" w:hAnsi="Georgia"/>
          <w:b/>
          <w:bCs/>
          <w:sz w:val="22"/>
          <w:szCs w:val="22"/>
        </w:rPr>
        <w:t xml:space="preserve">Cross-matrix thresholds</w:t>
      </w:r>
      <w:r>
        <w:rPr>
          <w:rFonts w:ascii="Georgia" w:cs="Georgia" w:eastAsia="Georgia" w:hAnsi="Georgia"/>
          <w:sz w:val="22"/>
          <w:szCs w:val="22"/>
        </w:rPr>
        <w:t xml:space="preserve"> represent tipping points at which incremental strain converts into systemic phase transition. </w:t>
      </w:r>
      <w:r>
        <w:rPr>
          <w:rFonts w:ascii="Georgia" w:cs="Georgia" w:eastAsia="Georgia" w:hAnsi="Georgia"/>
          <w:b/>
          <w:bCs/>
          <w:sz w:val="22"/>
          <w:szCs w:val="22"/>
        </w:rPr>
        <w:t xml:space="preserve">Causal interlinks</w:t>
      </w:r>
      <w:r>
        <w:rPr>
          <w:rFonts w:ascii="Georgia" w:cs="Georgia" w:eastAsia="Georgia" w:hAnsi="Georgia"/>
          <w:sz w:val="22"/>
          <w:szCs w:val="22"/>
        </w:rPr>
        <w:t xml:space="preserve"> emphasize multidirectional causation rather than simple stimulus-response models.</w:t>
      </w:r>
    </w:p>
    <w:p>
      <w:pPr>
        <w:spacing w:after="200" w:line="360"/>
      </w:pPr>
      <w:r>
        <w:rPr>
          <w:rFonts w:ascii="Georgia" w:cs="Georgia" w:eastAsia="Georgia" w:hAnsi="Georgia"/>
          <w:b/>
          <w:bCs/>
          <w:sz w:val="22"/>
          <w:szCs w:val="22"/>
        </w:rPr>
        <w:t xml:space="preserve">Systemic feedback loops</w:t>
      </w:r>
      <w:r>
        <w:rPr>
          <w:rFonts w:ascii="Georgia" w:cs="Georgia" w:eastAsia="Georgia" w:hAnsi="Georgia"/>
          <w:sz w:val="22"/>
          <w:szCs w:val="22"/>
        </w:rPr>
        <w:t xml:space="preserve"> complete the circulation cycle by returning erosion outcomes to the originating apparatus, increasing future pressure density.</w:t>
      </w:r>
    </w:p>
    <w:p>
      <w:pPr>
        <w:spacing w:after="200" w:line="360"/>
      </w:pPr>
      <w:r>
        <w:rPr>
          <w:rFonts w:ascii="Georgia" w:cs="Georgia" w:eastAsia="Georgia" w:hAnsi="Georgia"/>
          <w:sz w:val="22"/>
          <w:szCs w:val="22"/>
        </w:rPr>
        <w:t xml:space="preserve">Together these mechanisms portray governance environments as </w:t>
      </w:r>
      <w:r>
        <w:rPr>
          <w:rFonts w:ascii="Georgia" w:cs="Georgia" w:eastAsia="Georgia" w:hAnsi="Georgia"/>
          <w:b/>
          <w:bCs/>
          <w:sz w:val="22"/>
          <w:szCs w:val="22"/>
        </w:rPr>
        <w:t xml:space="preserve">complex adaptive fields</w:t>
      </w:r>
      <w:r>
        <w:rPr>
          <w:rFonts w:ascii="Georgia" w:cs="Georgia" w:eastAsia="Georgia" w:hAnsi="Georgia"/>
          <w:sz w:val="22"/>
          <w:szCs w:val="22"/>
        </w:rPr>
        <w:t xml:space="preserve"> rather than controllable machines.</w:t>
      </w:r>
    </w:p>
    <w:p>
      <w:pPr>
        <w:pBdr>
          <w:bottom w:val="single" w:color="999999" w:sz="1" w:space="8"/>
        </w:pBdr>
        <w:spacing w:after="300"/>
      </w:pPr>
    </w:p>
    <w:p>
      <w:pPr>
        <w:pStyle w:val="Heading2"/>
        <w:spacing w:before="400" w:after="200"/>
      </w:pPr>
      <w:r>
        <w:rPr>
          <w:rFonts w:ascii="Arial" w:cs="Arial" w:eastAsia="Arial" w:hAnsi="Arial"/>
          <w:b/>
          <w:bCs/>
          <w:sz w:val="28"/>
          <w:szCs w:val="28"/>
        </w:rPr>
        <w:t xml:space="preserve">5. The Matrix Interaction Field and Partisan Theater</w:t>
      </w:r>
    </w:p>
    <w:p>
      <w:pPr>
        <w:spacing w:after="200" w:line="360"/>
      </w:pPr>
      <w:r>
        <w:rPr>
          <w:rFonts w:ascii="Georgia" w:cs="Georgia" w:eastAsia="Georgia" w:hAnsi="Georgia"/>
          <w:sz w:val="22"/>
          <w:szCs w:val="22"/>
        </w:rPr>
        <w:t xml:space="preserve">At the center of the visualization lies the Matrix Interaction Field (MIF). This conceptual zone represents the relational space where actors, incentives, narratives, and institutional rules intersect.</w:t>
      </w:r>
    </w:p>
    <w:p>
      <w:pPr>
        <w:spacing w:after="200" w:line="360"/>
      </w:pPr>
      <w:r>
        <w:rPr>
          <w:rFonts w:ascii="Georgia" w:cs="Georgia" w:eastAsia="Georgia" w:hAnsi="Georgia"/>
          <w:sz w:val="22"/>
          <w:szCs w:val="22"/>
        </w:rPr>
        <w:t xml:space="preserve">Within the MIF, raw pressures transform into structural change. Economic strain becomes policy compromise; informational distortion becomes belief realignment; institutional overload becomes procedural simplification or collapse.</w:t>
      </w:r>
    </w:p>
    <w:p>
      <w:pPr>
        <w:spacing w:after="200" w:line="360"/>
      </w:pPr>
      <w:r>
        <w:rPr>
          <w:rFonts w:ascii="Georgia" w:cs="Georgia" w:eastAsia="Georgia" w:hAnsi="Georgia"/>
          <w:sz w:val="22"/>
          <w:szCs w:val="22"/>
        </w:rPr>
        <w:t xml:space="preserve">The field functions as a </w:t>
      </w:r>
      <w:r>
        <w:rPr>
          <w:rFonts w:ascii="Georgia" w:cs="Georgia" w:eastAsia="Georgia" w:hAnsi="Georgia"/>
          <w:b/>
          <w:bCs/>
          <w:sz w:val="22"/>
          <w:szCs w:val="22"/>
        </w:rPr>
        <w:t xml:space="preserve">conversion medium</w:t>
      </w:r>
      <w:r>
        <w:rPr>
          <w:rFonts w:ascii="Georgia" w:cs="Georgia" w:eastAsia="Georgia" w:hAnsi="Georgia"/>
          <w:sz w:val="22"/>
          <w:szCs w:val="22"/>
        </w:rPr>
        <w:t xml:space="preserve">. Its density determines whether pressures dissipate constructively or accumulate destructively. High-density interaction fields increase coupling probability. They accelerate feedback cycles and reduce temporal buffers that might otherwise allow stabilization.</w:t>
      </w:r>
    </w:p>
    <w:p>
      <w:pPr>
        <w:spacing w:after="200" w:line="360"/>
      </w:pPr>
      <w:r>
        <w:rPr>
          <w:rFonts w:ascii="Georgia" w:cs="Georgia" w:eastAsia="Georgia" w:hAnsi="Georgia"/>
          <w:sz w:val="22"/>
          <w:szCs w:val="22"/>
        </w:rPr>
        <w:t xml:space="preserve">Critically, the model identifies a specific mechanism operating within the MIF that existing political science literature undertheorizes: </w:t>
      </w:r>
      <w:r>
        <w:rPr>
          <w:rFonts w:ascii="Georgia" w:cs="Georgia" w:eastAsia="Georgia" w:hAnsi="Georgia"/>
          <w:b/>
          <w:bCs/>
          <w:sz w:val="22"/>
          <w:szCs w:val="22"/>
        </w:rPr>
        <w:t xml:space="preserve">Partisan Theater</w:t>
      </w:r>
      <w:r>
        <w:rPr>
          <w:rFonts w:ascii="Georgia" w:cs="Georgia" w:eastAsia="Georgia" w:hAnsi="Georgia"/>
          <w:sz w:val="22"/>
          <w:szCs w:val="22"/>
        </w:rPr>
        <w:t xml:space="preserve">. This is the structured false binary through which systemic pressure is laundered into political output. The R/D/I framework in American politics — and analogous structures in other democracies — does not represent genuine ideological opposition. It functions as a </w:t>
      </w:r>
      <w:r>
        <w:rPr>
          <w:rFonts w:ascii="Georgia" w:cs="Georgia" w:eastAsia="Georgia" w:hAnsi="Georgia"/>
          <w:b/>
          <w:bCs/>
          <w:sz w:val="22"/>
          <w:szCs w:val="22"/>
        </w:rPr>
        <w:t xml:space="preserve">processing layer</w:t>
      </w:r>
      <w:r>
        <w:rPr>
          <w:rFonts w:ascii="Georgia" w:cs="Georgia" w:eastAsia="Georgia" w:hAnsi="Georgia"/>
          <w:sz w:val="22"/>
          <w:szCs w:val="22"/>
        </w:rPr>
        <w:t xml:space="preserve"> that absorbs public dissent, channels it into electorally manageable containers, and prevents structural critique from achieving legislative traction.</w:t>
      </w:r>
    </w:p>
    <w:p>
      <w:pPr>
        <w:spacing w:after="200" w:line="360"/>
      </w:pPr>
      <w:r>
        <w:rPr>
          <w:rFonts w:ascii="Georgia" w:cs="Georgia" w:eastAsia="Georgia" w:hAnsi="Georgia"/>
          <w:sz w:val="22"/>
          <w:szCs w:val="22"/>
        </w:rPr>
        <w:t xml:space="preserve">The model encodes Partisan Theater as one of the most connected nodes in the entire matrix. It receives direct coupling links from lobbying infrastructure, corporatocracy, asset management hegemony, and blackmail networks. It projects threshold links to electoral commodification, legislative capture, truth fragmentation, and manufactured division. And it receives feedback from civic alienation, trust collapse, and democratic bypass — meaning the theater is sustained by the very erosion it produces.</w:t>
      </w:r>
    </w:p>
    <w:p>
      <w:pPr>
        <w:spacing w:after="200" w:line="360"/>
      </w:pPr>
      <w:r>
        <w:rPr>
          <w:rFonts w:ascii="Georgia" w:cs="Georgia" w:eastAsia="Georgia" w:hAnsi="Georgia"/>
          <w:sz w:val="22"/>
          <w:szCs w:val="22"/>
        </w:rPr>
        <w:t xml:space="preserve">This is not a conspiracy claim. It is a structural observation: the theatrical opposition framework is a </w:t>
      </w:r>
      <w:r>
        <w:rPr>
          <w:rFonts w:ascii="Georgia" w:cs="Georgia" w:eastAsia="Georgia" w:hAnsi="Georgia"/>
          <w:b/>
          <w:bCs/>
          <w:sz w:val="22"/>
          <w:szCs w:val="22"/>
        </w:rPr>
        <w:t xml:space="preserve">load-bearing mechanism</w:t>
      </w:r>
      <w:r>
        <w:rPr>
          <w:rFonts w:ascii="Georgia" w:cs="Georgia" w:eastAsia="Georgia" w:hAnsi="Georgia"/>
          <w:sz w:val="22"/>
          <w:szCs w:val="22"/>
        </w:rPr>
        <w:t xml:space="preserve"> in the circulatory architecture. Removing it would require the system to develop alternative pressure-processing pathways, which would expose the underlying vector structure to direct public scrutiny.</w:t>
      </w:r>
    </w:p>
    <w:p>
      <w:pPr>
        <w:pBdr>
          <w:bottom w:val="single" w:color="999999" w:sz="1" w:space="8"/>
        </w:pBdr>
        <w:spacing w:after="300"/>
      </w:pPr>
    </w:p>
    <w:p>
      <w:pPr>
        <w:pStyle w:val="Heading2"/>
        <w:spacing w:before="400" w:after="200"/>
      </w:pPr>
      <w:r>
        <w:rPr>
          <w:rFonts w:ascii="Arial" w:cs="Arial" w:eastAsia="Arial" w:hAnsi="Arial"/>
          <w:b/>
          <w:bCs/>
          <w:sz w:val="28"/>
          <w:szCs w:val="28"/>
        </w:rPr>
        <w:t xml:space="preserve">6. Emergent Systemic Erosion</w:t>
      </w:r>
    </w:p>
    <w:p>
      <w:pPr>
        <w:spacing w:after="200" w:line="360"/>
      </w:pPr>
      <w:r>
        <w:rPr>
          <w:rFonts w:ascii="Georgia" w:cs="Georgia" w:eastAsia="Georgia" w:hAnsi="Georgia"/>
          <w:sz w:val="22"/>
          <w:szCs w:val="22"/>
        </w:rPr>
        <w:t xml:space="preserve">The matrix’s lower hemisphere depicts systemic erosion as a basin into which multiple pressure streams converge. This basin is not terminal; it is transitional.</w:t>
      </w:r>
    </w:p>
    <w:p>
      <w:pPr>
        <w:spacing w:after="200" w:line="360"/>
      </w:pPr>
      <w:r>
        <w:rPr>
          <w:rFonts w:ascii="Georgia" w:cs="Georgia" w:eastAsia="Georgia" w:hAnsi="Georgia"/>
          <w:sz w:val="22"/>
          <w:szCs w:val="22"/>
        </w:rPr>
        <w:t xml:space="preserve">Erosion effects — loss of civic trust, reduced policy coherence, fragmented social solidarity — feed back upward through feedback arcs, re-entering the pressure apparatus. Thus, erosion is both </w:t>
      </w:r>
      <w:r>
        <w:rPr>
          <w:rFonts w:ascii="Georgia" w:cs="Georgia" w:eastAsia="Georgia" w:hAnsi="Georgia"/>
          <w:b/>
          <w:bCs/>
          <w:sz w:val="22"/>
          <w:szCs w:val="22"/>
        </w:rPr>
        <w:t xml:space="preserve">symptom and fuel</w:t>
      </w:r>
      <w:r>
        <w:rPr>
          <w:rFonts w:ascii="Georgia" w:cs="Georgia" w:eastAsia="Georgia" w:hAnsi="Georgia"/>
          <w:sz w:val="22"/>
          <w:szCs w:val="22"/>
        </w:rPr>
        <w:t xml:space="preserve">.</w:t>
      </w:r>
    </w:p>
    <w:p>
      <w:pPr>
        <w:spacing w:after="200" w:line="360"/>
      </w:pPr>
      <w:r>
        <w:rPr>
          <w:rFonts w:ascii="Georgia" w:cs="Georgia" w:eastAsia="Georgia" w:hAnsi="Georgia"/>
          <w:sz w:val="22"/>
          <w:szCs w:val="22"/>
        </w:rPr>
        <w:t xml:space="preserve">This dual role explains why destabilization can persist even after visible crises subside. The underlying circulatory architecture remains active. The 2008 financial crisis “ended” by conventional metrics around 2010–2012, but the circulatory pattern it activated — economic extraction funding narrative capture funding institutional hollowing funding covert consolidation funding legitimacy weaponization — continued to intensify through 2016, 2020, and beyond. The crisis was episodic. The circulation was permanent.</w:t>
      </w:r>
    </w:p>
    <w:p>
      <w:pPr>
        <w:spacing w:after="200" w:line="360"/>
      </w:pPr>
      <w:r>
        <w:rPr>
          <w:rFonts w:ascii="Georgia" w:cs="Georgia" w:eastAsia="Georgia" w:hAnsi="Georgia"/>
          <w:sz w:val="22"/>
          <w:szCs w:val="22"/>
        </w:rPr>
        <w:t xml:space="preserve">From a systems perspective, erosion is analogous to entropy accumulation in thermodynamic processes. Without external energy input or structural redesign, the system trends toward disorder. The toroidal model makes this explicit: there is no equilibrium state within the circulation. There is only acceleration or intervention.</w:t>
      </w:r>
    </w:p>
    <w:p>
      <w:pPr>
        <w:pBdr>
          <w:bottom w:val="single" w:color="999999" w:sz="1" w:space="8"/>
        </w:pBdr>
        <w:spacing w:after="300"/>
      </w:pPr>
    </w:p>
    <w:p>
      <w:pPr>
        <w:pStyle w:val="Heading2"/>
        <w:spacing w:before="400" w:after="200"/>
      </w:pPr>
      <w:r>
        <w:rPr>
          <w:rFonts w:ascii="Arial" w:cs="Arial" w:eastAsia="Arial" w:hAnsi="Arial"/>
          <w:b/>
          <w:bCs/>
          <w:sz w:val="28"/>
          <w:szCs w:val="28"/>
        </w:rPr>
        <w:t xml:space="preserve">7. Counterarguments and Leverage Points</w:t>
      </w:r>
    </w:p>
    <w:p>
      <w:pPr>
        <w:spacing w:after="200" w:line="360"/>
      </w:pPr>
      <w:r>
        <w:rPr>
          <w:rFonts w:ascii="Georgia" w:cs="Georgia" w:eastAsia="Georgia" w:hAnsi="Georgia"/>
          <w:sz w:val="22"/>
          <w:szCs w:val="22"/>
        </w:rPr>
        <w:t xml:space="preserve">The strongest objection to this model is that toroidal self-reinforcement implies inevitability. If the system feeds itself, intervention is structurally impossible. The model would then be not a diagnostic tool but a counsel of despair.</w:t>
      </w:r>
    </w:p>
    <w:p>
      <w:pPr>
        <w:spacing w:after="200" w:line="360"/>
      </w:pPr>
      <w:r>
        <w:rPr>
          <w:rFonts w:ascii="Georgia" w:cs="Georgia" w:eastAsia="Georgia" w:hAnsi="Georgia"/>
          <w:sz w:val="22"/>
          <w:szCs w:val="22"/>
        </w:rPr>
        <w:t xml:space="preserve">This objection misreads the topology. A torus is not a closed system. It has a specific geometry, and that geometry implies specific intervention strategies that differ fundamentally from linear policy approaches.</w:t>
      </w:r>
    </w:p>
    <w:p>
      <w:pPr>
        <w:pStyle w:val="Heading3"/>
        <w:spacing w:before="300" w:after="150"/>
      </w:pPr>
      <w:r>
        <w:rPr>
          <w:rFonts w:ascii="Arial" w:cs="Arial" w:eastAsia="Arial" w:hAnsi="Arial"/>
          <w:b/>
          <w:bCs/>
          <w:sz w:val="24"/>
          <w:szCs w:val="24"/>
        </w:rPr>
        <w:t xml:space="preserve">7.1 Disrupting Cross-Vector Coupling</w:t>
      </w:r>
    </w:p>
    <w:p>
      <w:pPr>
        <w:spacing w:after="200" w:line="360"/>
      </w:pPr>
      <w:r>
        <w:rPr>
          <w:rFonts w:ascii="Georgia" w:cs="Georgia" w:eastAsia="Georgia" w:hAnsi="Georgia"/>
          <w:sz w:val="22"/>
          <w:szCs w:val="22"/>
        </w:rPr>
        <w:t xml:space="preserve">The model shows that individual vectors are dangerous but manageable in isolation. What produces irreversible degradation is </w:t>
      </w:r>
      <w:r>
        <w:rPr>
          <w:rFonts w:ascii="Georgia" w:cs="Georgia" w:eastAsia="Georgia" w:hAnsi="Georgia"/>
          <w:b/>
          <w:bCs/>
          <w:sz w:val="22"/>
          <w:szCs w:val="22"/>
        </w:rPr>
        <w:t xml:space="preserve">cross-vector synchronization</w:t>
      </w:r>
      <w:r>
        <w:rPr>
          <w:rFonts w:ascii="Georgia" w:cs="Georgia" w:eastAsia="Georgia" w:hAnsi="Georgia"/>
          <w:sz w:val="22"/>
          <w:szCs w:val="22"/>
        </w:rPr>
        <w:t xml:space="preserve"> — the moment when economic pressure amplifies cognitive pressure amplifies institutional pressure in a resonance cascade. Interventions that reduce coupling density between vectors — firewalls between financial and media ownership, separation of intelligence and law enforcement functions, prohibition of lobbying by entities with regulatory interests — attack the topology directly. They do not eliminate pressure; they prevent synchronization.</w:t>
      </w:r>
    </w:p>
    <w:p>
      <w:pPr>
        <w:pStyle w:val="Heading3"/>
        <w:spacing w:before="300" w:after="150"/>
      </w:pPr>
      <w:r>
        <w:rPr>
          <w:rFonts w:ascii="Arial" w:cs="Arial" w:eastAsia="Arial" w:hAnsi="Arial"/>
          <w:b/>
          <w:bCs/>
          <w:sz w:val="24"/>
          <w:szCs w:val="24"/>
        </w:rPr>
        <w:t xml:space="preserve">7.2 Increasing Feedback Latency</w:t>
      </w:r>
    </w:p>
    <w:p>
      <w:pPr>
        <w:spacing w:after="200" w:line="360"/>
      </w:pPr>
      <w:r>
        <w:rPr>
          <w:rFonts w:ascii="Georgia" w:cs="Georgia" w:eastAsia="Georgia" w:hAnsi="Georgia"/>
          <w:sz w:val="22"/>
          <w:szCs w:val="22"/>
        </w:rPr>
        <w:t xml:space="preserve">The speed of the minor ring cycle — how quickly erosion outputs re-enter the apparatus — determines whether adaptive capacity can respond. If wealth-gated access takes twenty years to reconsolidate plutocratic control, democratic institutions have time to adapt. If it takes two years (as algorithmic governance enables), they do not. Interventions that </w:t>
      </w:r>
      <w:r>
        <w:rPr>
          <w:rFonts w:ascii="Georgia" w:cs="Georgia" w:eastAsia="Georgia" w:hAnsi="Georgia"/>
          <w:b/>
          <w:bCs/>
          <w:sz w:val="22"/>
          <w:szCs w:val="22"/>
        </w:rPr>
        <w:t xml:space="preserve">slow the feedback cycle</w:t>
      </w:r>
      <w:r>
        <w:rPr>
          <w:rFonts w:ascii="Georgia" w:cs="Georgia" w:eastAsia="Georgia" w:hAnsi="Georgia"/>
          <w:sz w:val="22"/>
          <w:szCs w:val="22"/>
        </w:rPr>
        <w:t xml:space="preserve"> — mandatory cooling periods on regulatory appointments, term limits on institutional leadership, friction in financial transaction speeds — do not break the loop but extend the window for democratic response.</w:t>
      </w:r>
    </w:p>
    <w:p>
      <w:pPr>
        <w:pStyle w:val="Heading3"/>
        <w:spacing w:before="300" w:after="150"/>
      </w:pPr>
      <w:r>
        <w:rPr>
          <w:rFonts w:ascii="Arial" w:cs="Arial" w:eastAsia="Arial" w:hAnsi="Arial"/>
          <w:b/>
          <w:bCs/>
          <w:sz w:val="24"/>
          <w:szCs w:val="24"/>
        </w:rPr>
        <w:t xml:space="preserve">7.3 Reducing MIF Density</w:t>
      </w:r>
    </w:p>
    <w:p>
      <w:pPr>
        <w:spacing w:after="200" w:line="360"/>
      </w:pPr>
      <w:r>
        <w:rPr>
          <w:rFonts w:ascii="Georgia" w:cs="Georgia" w:eastAsia="Georgia" w:hAnsi="Georgia"/>
          <w:sz w:val="22"/>
          <w:szCs w:val="22"/>
        </w:rPr>
        <w:t xml:space="preserve">The convergence field’s density determines coupling probability. Decentralization — distributing governance functions across jurisdictions, creating redundant institutional pathways, localizing decision authority — reduces the density of the interaction field. When fewer decisions pass through a single convergence zone, the probability of compound pressure formation decreases. This is not an argument for weak governance. It is an argument for </w:t>
      </w:r>
      <w:r>
        <w:rPr>
          <w:rFonts w:ascii="Georgia" w:cs="Georgia" w:eastAsia="Georgia" w:hAnsi="Georgia"/>
          <w:b/>
          <w:bCs/>
          <w:sz w:val="22"/>
          <w:szCs w:val="22"/>
        </w:rPr>
        <w:t xml:space="preserve">distributed governance</w:t>
      </w:r>
      <w:r>
        <w:rPr>
          <w:rFonts w:ascii="Georgia" w:cs="Georgia" w:eastAsia="Georgia" w:hAnsi="Georgia"/>
          <w:sz w:val="22"/>
          <w:szCs w:val="22"/>
        </w:rPr>
        <w:t xml:space="preserve"> — multiple smaller interaction fields rather than one dense one.</w:t>
      </w:r>
    </w:p>
    <w:p>
      <w:pPr>
        <w:pStyle w:val="Heading3"/>
        <w:spacing w:before="300" w:after="150"/>
      </w:pPr>
      <w:r>
        <w:rPr>
          <w:rFonts w:ascii="Arial" w:cs="Arial" w:eastAsia="Arial" w:hAnsi="Arial"/>
          <w:b/>
          <w:bCs/>
          <w:sz w:val="24"/>
          <w:szCs w:val="24"/>
        </w:rPr>
        <w:t xml:space="preserve">7.4 Exposing the Partisan Theater Mechanism</w:t>
      </w:r>
    </w:p>
    <w:p>
      <w:pPr>
        <w:spacing w:after="200" w:line="360"/>
      </w:pPr>
      <w:r>
        <w:rPr>
          <w:rFonts w:ascii="Georgia" w:cs="Georgia" w:eastAsia="Georgia" w:hAnsi="Georgia"/>
          <w:sz w:val="22"/>
          <w:szCs w:val="22"/>
        </w:rPr>
        <w:t xml:space="preserve">The theater’s effectiveness depends on its invisibility as a mechanism. Public awareness that the partisan binary functions as a pressure-processing layer — rather than genuine ideological opposition — degrades its capacity to absorb dissent. The model itself serves this function: by making the theater’s structural role visible and navigable, it converts an invisible mechanism into an inspectable one. This is why the visualization is published as an interactive tool rather than a static diagram.</w:t>
      </w:r>
    </w:p>
    <w:p>
      <w:pPr>
        <w:pBdr>
          <w:bottom w:val="single" w:color="999999" w:sz="1" w:space="8"/>
        </w:pBdr>
        <w:spacing w:after="300"/>
      </w:pPr>
    </w:p>
    <w:p>
      <w:pPr>
        <w:pStyle w:val="Heading2"/>
        <w:spacing w:before="400" w:after="200"/>
      </w:pPr>
      <w:r>
        <w:rPr>
          <w:rFonts w:ascii="Arial" w:cs="Arial" w:eastAsia="Arial" w:hAnsi="Arial"/>
          <w:b/>
          <w:bCs/>
          <w:sz w:val="28"/>
          <w:szCs w:val="28"/>
        </w:rPr>
        <w:t xml:space="preserve">8. Falsifiable Claims</w:t>
      </w:r>
    </w:p>
    <w:p>
      <w:pPr>
        <w:spacing w:after="200" w:line="360"/>
      </w:pPr>
      <w:r>
        <w:rPr>
          <w:rFonts w:ascii="Georgia" w:cs="Georgia" w:eastAsia="Georgia" w:hAnsi="Georgia"/>
          <w:sz w:val="22"/>
          <w:szCs w:val="22"/>
        </w:rPr>
        <w:t xml:space="preserve">A thesis without testable predictions is commentary, not theory. The circulatory model generates several claims that can, in principle, be evaluated against empirical data:</w:t>
      </w:r>
    </w:p>
    <w:p>
      <w:pPr>
        <w:spacing w:after="200" w:line="360"/>
      </w:pPr>
      <w:r>
        <w:rPr>
          <w:rFonts w:ascii="Georgia" w:cs="Georgia" w:eastAsia="Georgia" w:hAnsi="Georgia"/>
          <w:b/>
          <w:bCs/>
          <w:sz w:val="22"/>
          <w:szCs w:val="22"/>
        </w:rPr>
        <w:t xml:space="preserve">Claim 1: Cross-vector coupling frequency predicts instability.</w:t>
      </w:r>
      <w:r>
        <w:rPr>
          <w:rFonts w:ascii="Georgia" w:cs="Georgia" w:eastAsia="Georgia" w:hAnsi="Georgia"/>
          <w:sz w:val="22"/>
          <w:szCs w:val="22"/>
        </w:rPr>
        <w:t xml:space="preserve"> Systems in which three or more pressure vectors achieve measurable coupling — defined as policy, financial, or informational linkages between vector-specific actors — within the same 24-month window will exhibit democratic quality index decline within 36 months. This can be tested against existing governance quality metrics (V-Dem, Freedom House, World Governance Indicators) correlated with cross-domain linkage data.</w:t>
      </w:r>
    </w:p>
    <w:p>
      <w:pPr>
        <w:spacing w:after="200" w:line="360"/>
      </w:pPr>
      <w:r>
        <w:rPr>
          <w:rFonts w:ascii="Georgia" w:cs="Georgia" w:eastAsia="Georgia" w:hAnsi="Georgia"/>
          <w:b/>
          <w:bCs/>
          <w:sz w:val="22"/>
          <w:szCs w:val="22"/>
        </w:rPr>
        <w:t xml:space="preserve">Claim 2: Feedback loop velocity correlates with erosion rate.</w:t>
      </w:r>
      <w:r>
        <w:rPr>
          <w:rFonts w:ascii="Georgia" w:cs="Georgia" w:eastAsia="Georgia" w:hAnsi="Georgia"/>
          <w:sz w:val="22"/>
          <w:szCs w:val="22"/>
        </w:rPr>
        <w:t xml:space="preserve"> The interval between an erosion output and its measurable re-entry into the apparatus (e.g., time between austerity implementation and subsequent lobbying expenditure increase) should correlate inversely with institutional resilience metrics. Faster cycles predict steeper decline.</w:t>
      </w:r>
    </w:p>
    <w:p>
      <w:pPr>
        <w:spacing w:after="200" w:line="360"/>
      </w:pPr>
      <w:r>
        <w:rPr>
          <w:rFonts w:ascii="Georgia" w:cs="Georgia" w:eastAsia="Georgia" w:hAnsi="Georgia"/>
          <w:b/>
          <w:bCs/>
          <w:sz w:val="22"/>
          <w:szCs w:val="22"/>
        </w:rPr>
        <w:t xml:space="preserve">Claim 3: MIF density is measurable as decision-path concentration.</w:t>
      </w:r>
      <w:r>
        <w:rPr>
          <w:rFonts w:ascii="Georgia" w:cs="Georgia" w:eastAsia="Georgia" w:hAnsi="Georgia"/>
          <w:sz w:val="22"/>
          <w:szCs w:val="22"/>
        </w:rPr>
        <w:t xml:space="preserve"> Systems in which a higher proportion of consequential decisions pass through fewer institutional nodes (legislative committees, regulatory agencies, judicial appointments) will exhibit higher coupling probability. This predicts that federal centralization increases systemic fragility relative to distributed governance architectures, controlling for other variables.</w:t>
      </w:r>
    </w:p>
    <w:p>
      <w:pPr>
        <w:spacing w:after="200" w:line="360"/>
      </w:pPr>
      <w:r>
        <w:rPr>
          <w:rFonts w:ascii="Georgia" w:cs="Georgia" w:eastAsia="Georgia" w:hAnsi="Georgia"/>
          <w:b/>
          <w:bCs/>
          <w:sz w:val="22"/>
          <w:szCs w:val="22"/>
        </w:rPr>
        <w:t xml:space="preserve">Claim 4: Partisan theater effectiveness degrades under structural awareness.</w:t>
      </w:r>
      <w:r>
        <w:rPr>
          <w:rFonts w:ascii="Georgia" w:cs="Georgia" w:eastAsia="Georgia" w:hAnsi="Georgia"/>
          <w:sz w:val="22"/>
          <w:szCs w:val="22"/>
        </w:rPr>
        <w:t xml:space="preserve"> Populations exposed to structural models of political pressure (as opposed to partisan narratives) should exhibit measurably different political behavior: lower partisan identification, higher issue-specific engagement, greater support for structural reform. This is testable through controlled information exposure studies.</w:t>
      </w:r>
    </w:p>
    <w:p>
      <w:pPr>
        <w:pBdr>
          <w:bottom w:val="single" w:color="999999" w:sz="1" w:space="8"/>
        </w:pBdr>
        <w:spacing w:after="300"/>
      </w:pPr>
    </w:p>
    <w:p>
      <w:pPr>
        <w:pStyle w:val="Heading2"/>
        <w:spacing w:before="400" w:after="200"/>
      </w:pPr>
      <w:r>
        <w:rPr>
          <w:rFonts w:ascii="Arial" w:cs="Arial" w:eastAsia="Arial" w:hAnsi="Arial"/>
          <w:b/>
          <w:bCs/>
          <w:sz w:val="28"/>
          <w:szCs w:val="28"/>
        </w:rPr>
        <w:t xml:space="preserve">9. What the Matrix Visualization Demonstrates</w:t>
      </w:r>
    </w:p>
    <w:p>
      <w:pPr>
        <w:spacing w:after="200" w:line="360"/>
      </w:pPr>
      <w:r>
        <w:rPr>
          <w:rFonts w:ascii="Georgia" w:cs="Georgia" w:eastAsia="Georgia" w:hAnsi="Georgia"/>
          <w:sz w:val="22"/>
          <w:szCs w:val="22"/>
        </w:rPr>
        <w:t xml:space="preserve">The Polymorphic Matrix functions as both analytical diagram and exploratory interface. By allowing orbital navigation through nodes and connections, it reveals three experiential insights:</w:t>
      </w:r>
    </w:p>
    <w:p>
      <w:pPr>
        <w:spacing w:after="200" w:line="360"/>
      </w:pPr>
      <w:r>
        <w:rPr>
          <w:rFonts w:ascii="Georgia" w:cs="Georgia" w:eastAsia="Georgia" w:hAnsi="Georgia"/>
          <w:sz w:val="22"/>
          <w:szCs w:val="22"/>
        </w:rPr>
        <w:t xml:space="preserve">It shows that systemic pressures form </w:t>
      </w:r>
      <w:r>
        <w:rPr>
          <w:rFonts w:ascii="Georgia" w:cs="Georgia" w:eastAsia="Georgia" w:hAnsi="Georgia"/>
          <w:b/>
          <w:bCs/>
          <w:sz w:val="22"/>
          <w:szCs w:val="22"/>
        </w:rPr>
        <w:t xml:space="preserve">networked constellations rather than isolated clusters</w:t>
      </w:r>
      <w:r>
        <w:rPr>
          <w:rFonts w:ascii="Georgia" w:cs="Georgia" w:eastAsia="Georgia" w:hAnsi="Georgia"/>
          <w:sz w:val="22"/>
          <w:szCs w:val="22"/>
        </w:rPr>
        <w:t xml:space="preserve">. Clicking any single node illuminates connections that span multiple vectors, both hemispheres, and several connection types. No node is an island. This is not a design choice — it is what the data required.</w:t>
      </w:r>
    </w:p>
    <w:p>
      <w:pPr>
        <w:spacing w:after="200" w:line="360"/>
      </w:pPr>
      <w:r>
        <w:rPr>
          <w:rFonts w:ascii="Georgia" w:cs="Georgia" w:eastAsia="Georgia" w:hAnsi="Georgia"/>
          <w:sz w:val="22"/>
          <w:szCs w:val="22"/>
        </w:rPr>
        <w:t xml:space="preserve">It shows that feedback pathways are structurally embedded, not incidental. The cyan feedback arcs wrapping from the erosion hemisphere back to the apparatus hemisphere are not annotations — they are load-bearing structural elements. Removing them would misrepresent the system.</w:t>
      </w:r>
    </w:p>
    <w:p>
      <w:pPr>
        <w:spacing w:after="200" w:line="360"/>
      </w:pPr>
      <w:r>
        <w:rPr>
          <w:rFonts w:ascii="Georgia" w:cs="Georgia" w:eastAsia="Georgia" w:hAnsi="Georgia"/>
          <w:sz w:val="22"/>
          <w:szCs w:val="22"/>
        </w:rPr>
        <w:t xml:space="preserve">It shows that civic erosion can be mapped as a spatial process, making abstract decline perceptible as geometric flow. Users can observe how localized stressors scale into global instability through cumulative interaction.</w:t>
      </w:r>
    </w:p>
    <w:p>
      <w:pPr>
        <w:spacing w:after="200" w:line="360"/>
      </w:pPr>
      <w:r>
        <w:rPr>
          <w:rFonts w:ascii="Georgia" w:cs="Georgia" w:eastAsia="Georgia" w:hAnsi="Georgia"/>
          <w:sz w:val="22"/>
          <w:szCs w:val="22"/>
        </w:rPr>
        <w:t xml:space="preserve">In doing so, the visualization converts complex sociopolitical dynamics into a </w:t>
      </w:r>
      <w:r>
        <w:rPr>
          <w:rFonts w:ascii="Georgia" w:cs="Georgia" w:eastAsia="Georgia" w:hAnsi="Georgia"/>
          <w:b/>
          <w:bCs/>
          <w:sz w:val="22"/>
          <w:szCs w:val="22"/>
        </w:rPr>
        <w:t xml:space="preserve">legible systems language</w:t>
      </w:r>
      <w:r>
        <w:rPr>
          <w:rFonts w:ascii="Georgia" w:cs="Georgia" w:eastAsia="Georgia" w:hAnsi="Georgia"/>
          <w:sz w:val="22"/>
          <w:szCs w:val="22"/>
        </w:rPr>
        <w:t xml:space="preserve">. It makes the circulatory architecture inspectable — and therefore, for the first time, intervene-able with topological precision.</w:t>
      </w:r>
    </w:p>
    <w:p>
      <w:pPr>
        <w:pBdr>
          <w:bottom w:val="single" w:color="999999" w:sz="1" w:space="8"/>
        </w:pBdr>
        <w:spacing w:after="300"/>
      </w:pPr>
    </w:p>
    <w:p>
      <w:pPr>
        <w:pStyle w:val="Heading2"/>
        <w:spacing w:before="400" w:after="200"/>
      </w:pPr>
      <w:r>
        <w:rPr>
          <w:rFonts w:ascii="Arial" w:cs="Arial" w:eastAsia="Arial" w:hAnsi="Arial"/>
          <w:b/>
          <w:bCs/>
          <w:sz w:val="28"/>
          <w:szCs w:val="28"/>
        </w:rPr>
        <w:t xml:space="preserve">10. Toward a Circulatory Theory of Governance Stability</w:t>
      </w:r>
    </w:p>
    <w:p>
      <w:pPr>
        <w:spacing w:after="200" w:line="360"/>
      </w:pPr>
      <w:r>
        <w:rPr>
          <w:rFonts w:ascii="Georgia" w:cs="Georgia" w:eastAsia="Georgia" w:hAnsi="Georgia"/>
          <w:sz w:val="22"/>
          <w:szCs w:val="22"/>
        </w:rPr>
        <w:t xml:space="preserve">The thesis emerging from this model can be summarized succinctly.</w:t>
      </w:r>
    </w:p>
    <w:p>
      <w:pPr>
        <w:spacing w:after="200" w:line="360"/>
      </w:pPr>
      <w:r>
        <w:rPr>
          <w:rFonts w:ascii="Georgia" w:cs="Georgia" w:eastAsia="Georgia" w:hAnsi="Georgia"/>
          <w:sz w:val="22"/>
          <w:szCs w:val="22"/>
        </w:rPr>
        <w:t xml:space="preserve">Political systems behave as circulation systems of pressure. Stability depends less on eliminating individual stressors than on </w:t>
      </w:r>
      <w:r>
        <w:rPr>
          <w:rFonts w:ascii="Georgia" w:cs="Georgia" w:eastAsia="Georgia" w:hAnsi="Georgia"/>
          <w:b/>
          <w:bCs/>
          <w:sz w:val="22"/>
          <w:szCs w:val="22"/>
        </w:rPr>
        <w:t xml:space="preserve">maintaining adaptive flow capacity and feedback moderation</w:t>
      </w:r>
      <w:r>
        <w:rPr>
          <w:rFonts w:ascii="Georgia" w:cs="Georgia" w:eastAsia="Georgia" w:hAnsi="Georgia"/>
          <w:sz w:val="22"/>
          <w:szCs w:val="22"/>
        </w:rPr>
        <w:t xml:space="preserve">.</w:t>
      </w:r>
    </w:p>
    <w:p>
      <w:pPr>
        <w:spacing w:after="200" w:line="360"/>
      </w:pPr>
      <w:r>
        <w:rPr>
          <w:rFonts w:ascii="Georgia" w:cs="Georgia" w:eastAsia="Georgia" w:hAnsi="Georgia"/>
          <w:sz w:val="22"/>
          <w:szCs w:val="22"/>
        </w:rPr>
        <w:t xml:space="preserve">When pressure circulation becomes dense, synchronized, and reflexively amplified, systemic erosion becomes inevitable. Conversely, when interaction fields remain permeable and feedback cycles are dampened, resilience increases.</w:t>
      </w:r>
    </w:p>
    <w:p>
      <w:pPr>
        <w:spacing w:after="200" w:line="360"/>
      </w:pPr>
      <w:r>
        <w:rPr>
          <w:rFonts w:ascii="Georgia" w:cs="Georgia" w:eastAsia="Georgia" w:hAnsi="Georgia"/>
          <w:sz w:val="22"/>
          <w:szCs w:val="22"/>
        </w:rPr>
        <w:t xml:space="preserve">Future research directions implied by this framework include quantitative pressure mapping using cross-domain linkage databases, simulation of cross-vector thresholds using agent-based models on toroidal network topologies, development of early-warning metrics based on coupling frequency and feedback velocity, and controlled studies of structural awareness as a counterweight to partisan theater effectiveness.</w:t>
      </w:r>
    </w:p>
    <w:p>
      <w:pPr>
        <w:pBdr>
          <w:bottom w:val="single" w:color="999999" w:sz="1" w:space="8"/>
        </w:pBdr>
        <w:spacing w:after="300"/>
      </w:pPr>
    </w:p>
    <w:p>
      <w:pPr>
        <w:pStyle w:val="Heading2"/>
        <w:spacing w:before="400" w:after="200"/>
      </w:pPr>
      <w:r>
        <w:rPr>
          <w:rFonts w:ascii="Arial" w:cs="Arial" w:eastAsia="Arial" w:hAnsi="Arial"/>
          <w:b/>
          <w:bCs/>
          <w:sz w:val="28"/>
          <w:szCs w:val="28"/>
        </w:rPr>
        <w:t xml:space="preserve">Conclusion</w:t>
      </w:r>
    </w:p>
    <w:p>
      <w:pPr>
        <w:spacing w:after="200" w:line="360"/>
      </w:pPr>
      <w:r>
        <w:rPr>
          <w:rFonts w:ascii="Georgia" w:cs="Georgia" w:eastAsia="Georgia" w:hAnsi="Georgia"/>
          <w:sz w:val="22"/>
          <w:szCs w:val="22"/>
        </w:rPr>
        <w:t xml:space="preserve">The Polymorphic Matrix of Systemic Political Pressure presents a structural theory of civic decline grounded in networked force dynamics. Its toroidal topology emphasizes that destabilization is rarely sudden or singular. It is the cumulative result of circulating pressures that reshape institutional and cognitive landscapes over time.</w:t>
      </w:r>
    </w:p>
    <w:p>
      <w:pPr>
        <w:spacing w:after="200" w:line="360"/>
      </w:pPr>
      <w:r>
        <w:rPr>
          <w:rFonts w:ascii="Georgia" w:cs="Georgia" w:eastAsia="Georgia" w:hAnsi="Georgia"/>
          <w:sz w:val="22"/>
          <w:szCs w:val="22"/>
        </w:rPr>
        <w:t xml:space="preserve">The model is not fatalistic. Its geometry implies specific intervention strategies — decoupling synchronized vectors, extending feedback latency, distributing convergence density, and exposing the theatrical mechanisms that process pressure into political output. These strategies differ fundamentally from conventional policy approaches because they target the </w:t>
      </w:r>
      <w:r>
        <w:rPr>
          <w:rFonts w:ascii="Georgia" w:cs="Georgia" w:eastAsia="Georgia" w:hAnsi="Georgia"/>
          <w:b/>
          <w:bCs/>
          <w:sz w:val="22"/>
          <w:szCs w:val="22"/>
        </w:rPr>
        <w:t xml:space="preserve">topology of the system</w:t>
      </w:r>
      <w:r>
        <w:rPr>
          <w:rFonts w:ascii="Georgia" w:cs="Georgia" w:eastAsia="Georgia" w:hAnsi="Georgia"/>
          <w:sz w:val="22"/>
          <w:szCs w:val="22"/>
        </w:rPr>
        <w:t xml:space="preserve"> rather than the content of any individual crisis.</w:t>
      </w:r>
    </w:p>
    <w:p>
      <w:pPr>
        <w:spacing w:after="200" w:line="360"/>
      </w:pPr>
      <w:r>
        <w:rPr>
          <w:rFonts w:ascii="Georgia" w:cs="Georgia" w:eastAsia="Georgia" w:hAnsi="Georgia"/>
          <w:sz w:val="22"/>
          <w:szCs w:val="22"/>
        </w:rPr>
        <w:t xml:space="preserve">Recognizing and modeling these circulation patterns may represent a crucial step toward designing governance systems capable of sustaining legitimacy, coherence, and collective agency in increasingly complex societal environments.</w:t>
      </w:r>
    </w:p>
    <w:p>
      <w:pPr>
        <w:spacing w:before="400" w:after="400"/>
      </w:pPr>
    </w:p>
    <w:p>
      <w:pPr>
        <w:pBdr>
          <w:bottom w:val="single" w:color="999999" w:sz="1" w:space="8"/>
        </w:pBdr>
        <w:spacing w:after="300"/>
      </w:pPr>
    </w:p>
    <w:p>
      <w:pPr>
        <w:spacing w:before="200" w:after="100"/>
      </w:pPr>
      <w:r>
        <w:rPr>
          <w:rFonts w:ascii="Arial" w:cs="Arial" w:eastAsia="Arial" w:hAnsi="Arial"/>
          <w:b/>
          <w:bCs/>
          <w:sz w:val="22"/>
          <w:szCs w:val="22"/>
        </w:rPr>
        <w:t xml:space="preserve">Attribution and Provenance</w:t>
      </w:r>
    </w:p>
    <w:p>
      <w:pPr>
        <w:spacing w:after="200" w:line="360"/>
      </w:pPr>
      <w:r>
        <w:rPr>
          <w:rFonts w:ascii="Georgia" w:cs="Georgia" w:eastAsia="Georgia" w:hAnsi="Georgia"/>
          <w:sz w:val="22"/>
          <w:szCs w:val="22"/>
        </w:rPr>
        <w:t xml:space="preserve">The Polymorphic Matrix of Systemic Political Pressure was originated and designed by B. Greenway. The conceptual architecture — including the five-vector pressure taxonomy, the Matrix Interaction Field, the Partisan Theater mechanism, the toroidal topology, the feedback loop structure, and the ten-vector input/output framework — is original intellectual work. The interactive 3D visualization was developed collaboratively and is published at polymorphic-matrix.surge.sh. This paper was authored by B. Greenway in 2026.</w:t>
      </w:r>
    </w:p>
    <w:p>
      <w:pPr>
        <w:spacing w:after="200" w:line="360"/>
      </w:pPr>
      <w:r>
        <w:rPr>
          <w:rFonts w:ascii="Georgia" w:cs="Georgia" w:eastAsia="Georgia" w:hAnsi="Georgia"/>
          <w:sz w:val="22"/>
          <w:szCs w:val="22"/>
        </w:rPr>
        <w:t xml:space="preserve">This work is timestamped and published under ThinkWell Labs. All structural concepts, taxonomies, and topological claims herein are the intellectual property of the originator.</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B. Greenway </w:t>
    </w:r>
    <w:r>
      <w:rPr>
        <w:rFonts w:ascii="Arial" w:cs="Arial" w:eastAsia="Arial" w:hAnsi="Arial"/>
        <w:color w:val="888888"/>
        <w:sz w:val="16"/>
        <w:szCs w:val="16"/>
      </w:rPr>
      <w:t xml:space="preserve">| Circulatory Pressure Architectures | ThinkWell Labs 2026 | p.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400" w:after="200"/>
      <w:outlineLvl w:val="1"/>
    </w:pPr>
    <w:rPr>
      <w:rFonts w:ascii="Arial" w:cs="Arial" w:eastAsia="Arial" w:hAnsi="Arial"/>
      <w:b/>
      <w:bCs/>
      <w:sz w:val="28"/>
      <w:szCs w:val="28"/>
    </w:rPr>
  </w:style>
  <w:style w:type="paragraph" w:styleId="Heading3">
    <w:name w:val="Heading 3"/>
    <w:basedOn w:val="Normal"/>
    <w:next w:val="Normal"/>
    <w:qFormat/>
    <w:pPr>
      <w:spacing w:before="300" w:after="15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2026-03-25T18:39:27.274Z</dcterms:created>
  <dcterms:modified xsi:type="dcterms:W3CDTF">2026-03-25T18:39:27.275Z</dcterms:modified>
</cp:coreProperties>
</file>

<file path=docProps/custom.xml><?xml version="1.0" encoding="utf-8"?>
<Properties xmlns="http://schemas.openxmlformats.org/officeDocument/2006/custom-properties" xmlns:vt="http://schemas.openxmlformats.org/officeDocument/2006/docPropsVTypes"/>
</file>