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142D55"/>
            <w:tcMar>
              <w:top w:w="240" w:type="dxa"/>
              <w:bottom w:w="240" w:type="dxa"/>
              <w:left w:w="260" w:type="dxa"/>
              <w:right w:w="2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4DCBE"/>
                <w:sz w:val="22"/>
              </w:rPr>
              <w:t>SANIDADE VEGETAL AI (SUGARVISION)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RELATO DA SOLUÇÃO — VOLUME 2</w:t>
              <w:br/>
            </w:r>
            <w:r>
              <w:rPr>
                <w:rFonts w:ascii="Calibri" w:hAnsi="Calibri"/>
                <w:color w:val="DCE6F5"/>
                <w:sz w:val="21"/>
              </w:rPr>
              <w:t>Etapa Modify (SEMMA): Engenharia de Features, Pipeline Atômico com ColumnTransformer, Defesa Técnica Anti-Leakage e Consolidação da ABT Final</w:t>
              <w:br/>
            </w:r>
            <w:r>
              <w:rPr>
                <w:rFonts w:ascii="Calibri" w:hAnsi="Calibri"/>
                <w:b/>
                <w:color w:val="FFC864"/>
                <w:sz w:val="19"/>
              </w:rPr>
              <w:t>Apresentação do Demoday 2 • Sprint 2 • FATEC Rio Claro 2026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2782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DO DEMODAY 2</w:t>
            </w:r>
          </w:p>
        </w:tc>
        <w:tc>
          <w:tcPr>
            <w:tcW w:type="dxa" w:w="3456"/>
            <w:shd w:fill="2782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PROFESSOR / AVALIADOR</w:t>
            </w:r>
          </w:p>
        </w:tc>
        <w:tc>
          <w:tcPr>
            <w:tcW w:type="dxa" w:w="3168"/>
            <w:shd w:fill="2782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EQUIPE RESPONSÁVEL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282C34"/>
                <w:sz w:val="18"/>
              </w:rPr>
              <w:t>16/10/2026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282C34"/>
                <w:sz w:val="18"/>
              </w:rPr>
              <w:t>Prof. Julio Cesar de Lemos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282C34"/>
                <w:sz w:val="18"/>
              </w:rPr>
              <w:t>Sanidade Vegetal — Squad 2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42D55"/>
          <w:sz w:val="30"/>
        </w:rPr>
        <w:t>1. Identificação da Equipe e Matriz RACI / Accountability</w:t>
      </w:r>
    </w:p>
    <w:p>
      <w:pPr>
        <w:spacing w:after="120"/>
      </w:pPr>
      <w:r>
        <w:t>A governança e a distribuição técnica de responsabilidades da Squad 2 na Fase Modify do framework SEMMA seguem o modelo formal RACI, onde (A) representa o Accountable com autoridade e responsabilidade final pela aprovação da camada indicada: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Nome do Membro</w:t>
            </w:r>
          </w:p>
        </w:tc>
        <w:tc>
          <w:tcPr>
            <w:tcW w:type="dxa" w:w="2160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Papel na Squad</w:t>
            </w:r>
          </w:p>
        </w:tc>
        <w:tc>
          <w:tcPr>
            <w:tcW w:type="dxa" w:w="5040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Responsabilidade Técnica Principal na Fase Modify (SEMMA)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César Augusto Oliveira Bovo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Product Owner / Tech Lead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Accountable (A) — Visão Computacional &amp; Engenharia Visual: Formulação e validação agronômica dos descritores cromáticos (HSV/CIELAB, índices ExG, ExR, R/G) e texturais de Haralick via GLCM multidirecional com invariância à rotação.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Elisa Almeida Alcântara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MLOps &amp; Machine Learning Engineer</w:t>
            </w:r>
          </w:p>
        </w:tc>
        <w:tc>
          <w:tcPr>
            <w:tcW w:type="dxa" w:w="50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Accountable (A) — Pipeline Atômico &amp; ABT Final: Arquitetura do ColumnTransformer com sub-pipelines desacoplados, prova matemática de isolamento anti-leakage, consolidação da base abt_features_modelagem e exportação em Apache Parquet/CSV com SHA-256.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Luis Otavio Routh da Silva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Scrum Master &amp; QA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Accountable (A) — Governança Ágil &amp; Qualidade: Facilitação do Demoday 2, elaboração do Relato da Solução — Volume 2, controle rigoroso do Definition of Done (DoD) e conformidade técnica das entregas.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Heitor Vitti Partezani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Data Architect</w:t>
            </w:r>
          </w:p>
        </w:tc>
        <w:tc>
          <w:tcPr>
            <w:tcW w:type="dxa" w:w="50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Accountable (A) — Amostragem &amp; Schema: Manutenção da integridade referencial dos alvos supervisionados (binário e multiclasse), governança dos identificadores únicos (sample_id) e atualização do Dicionário de Dados.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Marvin Cristhian Gomes Pinto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Data Scientist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Accountable (A) — Auditoria Estatística: Análise exploratória multivariada, auditoria de assimetria nos metadados ópticos, avaliação comparativa de bins e suporte aos testes estatísticos de separabilidade.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Guilherme Peres Romanzotti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DevOps / Repo Manager</w:t>
            </w:r>
          </w:p>
        </w:tc>
        <w:tc>
          <w:tcPr>
            <w:tcW w:type="dxa" w:w="50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Accountable (A) — Repositório &amp; CI: Gestão de branches e pull requests, proteção do .gitignore contra contaminação de bases pesadas e controle de versionamento dos artefatos serializados (joblib/json).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42D55"/>
          <w:sz w:val="30"/>
        </w:rPr>
        <w:t>2. Metas do Demoday 2 &amp; Alinhamento Estratégico (Fase Modify)</w:t>
      </w:r>
    </w:p>
    <w:p>
      <w:pPr>
        <w:spacing w:after="80"/>
      </w:pPr>
      <w:r>
        <w:t>A presente cerimônia do Demoday 2 formaliza a entrega e defesa técnica da Etapa Modify (Transformação, Engenharia de Features e Pré-processamento) do framework SEMMA no projeto SugarVision. A fitopatologia da cana-de-açúcar (Saccharum officinarum) impõe desafios severos para o aprendizado de máquina tabular:</w:t>
      </w:r>
    </w:p>
    <w:p>
      <w:pPr>
        <w:spacing w:after="120"/>
      </w:pPr>
      <w:r>
        <w:rPr>
          <w:b/>
        </w:rPr>
        <w:t xml:space="preserve">1. Ruído Fotométrico e Iluminação Inconsistente: </w:t>
      </w:r>
      <w:r>
        <w:t>Fotografias obtidas em campo sofrem forte distorção solar, reflexos e sombras, inviabilizando o uso de canais RGB crus.</w:t>
        <w:br/>
      </w:r>
      <w:r>
        <w:rPr>
          <w:b/>
        </w:rPr>
        <w:t xml:space="preserve">2. Micromorfologia Fúngica da Ferrugem: </w:t>
      </w:r>
      <w:r>
        <w:t>A infecção por Puccinia melanocephala e Puccinia kuehnii caracteriza-se pelo rompimento da cutícula e proliferação de pústulas urediais salientes e rugosas, exigindo descritores texturais especializados.</w:t>
        <w:br/>
      </w:r>
      <w:r>
        <w:rPr>
          <w:b/>
        </w:rPr>
        <w:t xml:space="preserve">3. Risco Crítico de Data Leakage: </w:t>
      </w:r>
      <w:r>
        <w:t>Pré-processamentos soltos frequentemente calculam médias e desvios sobre a base total, contaminando validação e teste com informações do futuro.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BF3FD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1E5AB4"/>
                <w:sz w:val="20"/>
              </w:rPr>
              <w:t>★ DECLARAÇÃO DE META DA SPRINT 2 (DEMODAY 2)</w:t>
              <w:br/>
            </w:r>
            <w:r>
              <w:rPr>
                <w:color w:val="1E232D"/>
                <w:sz w:val="19"/>
              </w:rPr>
              <w:t>Transformar as 6.571 imagens fotográficas brutas auditadas na Sprint 1 em uma Tabela Analítica Base (ABT) final com 35 features preditivas de alta relevância biológica, estruturada através de um Pipeline Atômico com ColumnTransformer, blindada com ZERO Data Leakage e persistida em Apache Parquet para os modelos de Support Vector Machines.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42D55"/>
          <w:sz w:val="30"/>
        </w:rPr>
        <w:t>3. Arquitetura da Solução e Fluxo End-to-End ('O Que' e 'Como')</w:t>
      </w:r>
    </w:p>
    <w:p>
      <w:pPr>
        <w:spacing w:after="80"/>
      </w:pPr>
      <w:r>
        <w:t>A engenharia implementada organiza-se de maneira binária entre 'O Que' foi concebido (sinais biológicos e visuais) e 'Como' foi executado (engenharia de software e MLOps):</w:t>
      </w:r>
    </w:p>
    <w:p>
      <w:pPr>
        <w:spacing w:after="160"/>
      </w:pPr>
      <w:r>
        <w:rPr>
          <w:b/>
        </w:rPr>
        <w:t xml:space="preserve">• 'O Que' Construímos: </w:t>
      </w:r>
      <w:r>
        <w:t>7 descritores cromáticos (ExG, ExR, razões R/G, matiz circular HSV), 5 métricas texturais de Haralick com média multidirecional invariante a rotação, 1 índice proprietário de rugosidade foliar de pústula (IRFP) e 4 conjuntos de faixas estatísticas discretizadas.</w:t>
        <w:br/>
      </w:r>
      <w:r>
        <w:rPr>
          <w:b/>
        </w:rPr>
        <w:t xml:space="preserve">• 'Como' Processamos: </w:t>
      </w:r>
      <w:r>
        <w:t>Um objeto ColumnTransformer central no Scikit-Learn que orquestra dois sub-pipelines especializados (numérico e categórico), impõe a Regra de Ouro do Fit exclusivo em X_train e purifica a matriz analítica descartando 8 colunas de metadados operacionais.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42D55"/>
          <w:sz w:val="30"/>
        </w:rPr>
        <w:t>4. Defesa dos Critérios Técnicos da Engenharia de Features ('O Que')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78246"/>
          <w:sz w:val="25"/>
        </w:rPr>
        <w:t>4.1 Descritores Cromáticos e Índices Espectrais de Vegetação</w:t>
      </w:r>
    </w:p>
    <w:p>
      <w:pPr>
        <w:spacing w:after="80"/>
      </w:pPr>
      <w:r>
        <w:t>Para desacoplar a informação de cor pura da luminância, as imagens foram convertidas para o espaço HSV e submetidas ao cálculo de índices de vegetação clássicos da agricultura de precisão:</w:t>
      </w:r>
    </w:p>
    <w:p>
      <w:pPr>
        <w:spacing w:after="120"/>
      </w:pPr>
      <w:r>
        <w:rPr>
          <w:b/>
        </w:rPr>
        <w:t xml:space="preserve">1. Índice de Excesso de Verde (ExG): </w:t>
      </w:r>
      <w:r>
        <w:t>ExG = 2G - R - B. Folhas sadias apresentam alta refletância no verde devido à clorofila ativa (+44,82 médio). Na ferrugem, o índice colapsa para -18,45.</w:t>
        <w:br/>
      </w:r>
      <w:r>
        <w:rPr>
          <w:b/>
        </w:rPr>
        <w:t xml:space="preserve">2. Índice de Excesso de Vermelho (ExR): </w:t>
      </w:r>
      <w:r>
        <w:t>ExR = 1.4R - G. Sensível a tecidos oxidados, lesões necróticas e esporulação fúngica (-18,10 em sadias vs +24,30 em ferrugem).</w:t>
        <w:br/>
      </w:r>
      <w:r>
        <w:rPr>
          <w:b/>
        </w:rPr>
        <w:t xml:space="preserve">3. Matiz Médio (μ_Hue) no HSV: </w:t>
      </w:r>
      <w:r>
        <w:t>O canal Hue mapeia o comprimento de onda angular (0° a 360°), separando nitidamente a folha sadia (76,5° verde) da folha com ferrugem (24,2° laranja/castanho).</w:t>
      </w:r>
    </w:p>
    <w:p>
      <w:pPr>
        <w:spacing w:before="80"/>
      </w:pPr>
    </w:p>
    <w:p>
      <w:r>
        <w:drawing>
          <wp:inline xmlns:a="http://schemas.openxmlformats.org/drawingml/2006/main" xmlns:pic="http://schemas.openxmlformats.org/drawingml/2006/picture">
            <wp:extent cx="6035040" cy="4828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2_analise_cromaticas_hsv_ex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2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1: Diagnóstico de separabilidade dos índices cromáticos (ExG, ExR, HSV) entre folhas sadias e patologias foliares.</w:t>
      </w:r>
    </w:p>
    <w:p>
      <w:pPr>
        <w:spacing w:after="120"/>
      </w:pP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78246"/>
          <w:sz w:val="25"/>
        </w:rPr>
        <w:t>4.2 Descritores Texturais de Haralick via GLCM e Invariância à Rotação</w:t>
      </w:r>
    </w:p>
    <w:p>
      <w:pPr>
        <w:spacing w:after="80"/>
      </w:pPr>
      <w:r>
        <w:t>A quebra da cutícula foliar por pústulas urediais foi capturada através da Matriz de Co-ocorrência em Níveis de Cinza (GLCM). Para anular a dependência da inclinação com que a foto foi registrada, calculou-se a matriz em 4 direções canônicas (0°, 45°, 90°, 135°) com distância d=1, consolidando as features pela média direcional:</w:t>
      </w:r>
    </w:p>
    <w:p>
      <w:pPr>
        <w:spacing w:after="120"/>
      </w:pPr>
      <w:r>
        <w:rPr>
          <w:b/>
        </w:rPr>
        <w:t xml:space="preserve">• Contraste Haralick: </w:t>
      </w:r>
      <w:r>
        <w:t>Mede variações locais quadráticas de cinza. É 1,72x superior na ferrugem (0,537 vs 0,312 em sadias), refletindo a transição abrupta de tons nas pústulas.</w:t>
        <w:br/>
      </w:r>
      <w:r>
        <w:rPr>
          <w:b/>
        </w:rPr>
        <w:t xml:space="preserve">• Homogeneidade (IDM): </w:t>
      </w:r>
      <w:r>
        <w:t>Mede a suavidade superficial. Cai de 0,845 (tecido liso sadio) para 0,691 (tecido rugoso atacado).</w:t>
        <w:br/>
      </w:r>
      <w:r>
        <w:rPr>
          <w:b/>
        </w:rPr>
        <w:t xml:space="preserve">• Índice de Rugosidade Foliar de Pústula (IRFP): </w:t>
      </w:r>
      <w:r>
        <w:t>Formulação proprietária da Squad 2: IRFP = (Contraste × Dissimilaridade) / (Homogeneidade + ε), amplificando o contraste microscópico.</w:t>
      </w:r>
    </w:p>
    <w:p>
      <w:pPr>
        <w:spacing w:after="80"/>
      </w:pPr>
      <w:r>
        <w:rPr>
          <w:b/>
        </w:rPr>
        <w:t>Tabela 1: Validação estatística rigorosa dos descritores visuais sobre as 6.571 instâncias: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Descritor Visual</w:t>
            </w:r>
          </w:p>
        </w:tc>
        <w:tc>
          <w:tcPr>
            <w:tcW w:type="dxa" w:w="1584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Média Sadia</w:t>
            </w:r>
          </w:p>
        </w:tc>
        <w:tc>
          <w:tcPr>
            <w:tcW w:type="dxa" w:w="1584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Média Ferrugem</w:t>
            </w:r>
          </w:p>
        </w:tc>
        <w:tc>
          <w:tcPr>
            <w:tcW w:type="dxa" w:w="2016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Teste Mann-Whitney</w:t>
            </w:r>
          </w:p>
        </w:tc>
        <w:tc>
          <w:tcPr>
            <w:tcW w:type="dxa" w:w="2016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Cohen's d (Efeito)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Excesso de Verde (ExG)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+44,82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-18,45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p &lt; 10⁻¹⁵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6,346 (Extremamente Alto)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Excesso de Vermelho (ExR)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-18,10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+24,30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p &lt; 10⁻¹⁵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5,812 (Extremamente Alto)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Matiz Médio (μ_Hue)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76,5° (Verde)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24,2° (Laranja)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p &lt; 10⁻¹⁵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7,410 (Extremamente Alto)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Desvio Saturação (σ_Sat)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0,118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0,245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p &lt; 10⁻¹⁵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4,920 (Extremamente Alto)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Contraste GLCM Haralick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0,312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0,537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p &lt; 10⁻¹⁵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3,421 (Muito Alto)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Homogeneidade GLCM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0,845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0,691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p &lt; 10⁻¹⁵</w:t>
            </w:r>
          </w:p>
        </w:tc>
        <w:tc>
          <w:tcPr>
            <w:tcW w:type="dxa" w:w="201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3,185 (Muito Alto)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Índice de Rugosidade (IRFP)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0,185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0,782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p &lt; 10⁻¹⁵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4,110 (Extremamente Alto)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278246"/>
          <w:sz w:val="25"/>
        </w:rPr>
        <w:t>4.3 Defesa Técnica da Discretização e Justificativa do One-Hot Encoding</w:t>
      </w:r>
    </w:p>
    <w:p>
      <w:pPr>
        <w:spacing w:after="80"/>
      </w:pPr>
      <w:r>
        <w:t>A base consolidada reúne metadados de duas fontes (Roboflow e Mendeley), gerando disparidades de resolução e peso. Segmentamos as variáveis contínuas de metadados em faixas estatísticas (size_kb em 4 quartis, laplacian_var em 4 quartis de nitidez, resolução em 3 tiers via KMeans e aspect_ratio em 3 clusters). A defesa técnica para aplicar One-Hot Encoding em vez de codificação ordinal baseia-se na formulação do Support Vector Machines (SVM):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BF3FD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1E5AB4"/>
                <w:sz w:val="20"/>
              </w:rPr>
              <w:t>★ POR QUE NÃO UTILIZAR CODIFICAÇÃO ORDINAL (0, 1, 2, 3) PARA O SVM?</w:t>
              <w:br/>
            </w:r>
            <w:r>
              <w:rPr>
                <w:color w:val="1E232D"/>
                <w:sz w:val="19"/>
              </w:rPr>
              <w:t>Algoritmos de fronteira de margem máxima, como o SVM, operam através de combinações lineares de pesos w e produtos escalares. Se representássemos as faixas de resolução como inteiros ordinais, o modelo assumiria uma falsa relação linear métrica (ex: que o tier 3 é 3 vezes 'maior' que o tier 1). A codificação One-Hot projeta cada faixa em uma dimensão ortogonal independente, permitindo que o hiperplano atribua coeficientes específicos sem induzir viés artificial de monotonicidade.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42D55"/>
          <w:sz w:val="30"/>
        </w:rPr>
        <w:t>5. Transformações, Imputações e Arquitetura do Pipeline Atômico ('Como')</w:t>
      </w:r>
    </w:p>
    <w:p>
      <w:pPr>
        <w:spacing w:after="80"/>
      </w:pPr>
      <w:r>
        <w:t>A centralização de todas as transformações no módulo src/atomic_pipeline_preprocessing.py garantiu rastreabilidade e auditabilidade total:</w:t>
      </w:r>
    </w:p>
    <w:p>
      <w:pPr>
        <w:spacing w:after="120"/>
      </w:pPr>
      <w:r>
        <w:rPr>
          <w:b/>
        </w:rPr>
        <w:t xml:space="preserve">1. Sub-Pipeline Numérico (17 Features Contínuas): </w:t>
      </w:r>
      <w:r>
        <w:t>Aplica SimpleImputer(strategy='median') — imune a assimetrias e outliers — seguido de StandardScaler(with_mean=True, with_std=True). A padronização Z-score (μ=0, σ=1) é obrigatória para o SVM, cuja função de kernel RBF depende da distância euclidiana.</w:t>
        <w:br/>
      </w:r>
      <w:r>
        <w:rPr>
          <w:b/>
        </w:rPr>
        <w:t xml:space="preserve">2. Sub-Pipeline Categórico (6 Features Nominais e Bins): </w:t>
      </w:r>
      <w:r>
        <w:t>Aplica SimpleImputer(strategy='most_frequent') preenchendo ausências pela moda observada no treino, seguido de OneHotEncoder(sparse_output=False, handle_unknown='ignore') expandindo em 18 colunas dummy com blindagem contra categorias desconhecidas.</w:t>
        <w:br/>
      </w:r>
      <w:r>
        <w:rPr>
          <w:b/>
        </w:rPr>
        <w:t xml:space="preserve">3. Camada de Purificação (remainder='drop'): </w:t>
      </w:r>
      <w:r>
        <w:t>Descarta automaticamente 8 colunas operacionais (sample_id, filepath, width, height, channels), impedindo contaminação da matriz de pesos.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42D55"/>
          <w:sz w:val="30"/>
        </w:rPr>
        <w:t>6. Comprovação Rigorosa e Matemática de Ausência de Data Leakage</w:t>
      </w:r>
    </w:p>
    <w:p>
      <w:pPr>
        <w:spacing w:after="80"/>
      </w:pPr>
      <w:r>
        <w:t>Para blindar o SugarVision contra vazamento de dados, o treinamento e a avaliação obedeceram à Regra de Ouro do Fit:</w:t>
      </w:r>
    </w:p>
    <w:p>
      <w:pPr>
        <w:spacing w:after="120"/>
      </w:pPr>
      <w:r>
        <w:rPr>
          <w:b/>
        </w:rPr>
        <w:t xml:space="preserve">• fit_transform() Exclusivo em Treino: </w:t>
      </w:r>
      <w:r>
        <w:t>Apenas as 5.574 instâncias de X_train foram submetidas ao cálculo de parâmetros (médias μ, desvios σ, medianas e categorias).</w:t>
        <w:br/>
      </w:r>
      <w:r>
        <w:rPr>
          <w:b/>
        </w:rPr>
        <w:t xml:space="preserve">• transform() Puro em Validação e Teste: </w:t>
      </w:r>
      <w:r>
        <w:t>As 617 amostras de validação e 380 de teste cego receberam exclusivamente transform(), utilizando os parâmetros previamente congelados.</w:t>
      </w:r>
    </w:p>
    <w:p>
      <w:pPr>
        <w:spacing w:after="80"/>
      </w:pPr>
      <w:r>
        <w:rPr>
          <w:b/>
        </w:rPr>
        <w:t>Tabela 2: Auditoria matemática das médias e desvios nas partições após a padronização: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Partição Amostral</w:t>
            </w:r>
          </w:p>
        </w:tc>
        <w:tc>
          <w:tcPr>
            <w:tcW w:type="dxa" w:w="1584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Instâncias</w:t>
            </w:r>
          </w:p>
        </w:tc>
        <w:tc>
          <w:tcPr>
            <w:tcW w:type="dxa" w:w="1872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Média Pós-Ajuste (x̄)</w:t>
            </w:r>
          </w:p>
        </w:tc>
        <w:tc>
          <w:tcPr>
            <w:tcW w:type="dxa" w:w="1872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Desvio Pós-Ajuste (s)</w:t>
            </w:r>
          </w:p>
        </w:tc>
        <w:tc>
          <w:tcPr>
            <w:tcW w:type="dxa" w:w="1872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Anti-Leakage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Treino (train)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5.574 (84,8%)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x̄ ≡ 0,0000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s ≡ 1,0000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[ESPERADO] Base de ajuste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Validação (valid)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617 (9,4%)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x̄ = 0,0142 ≠ 0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s = 0,9874 ≠ 1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[COMPROVADO] Zero Leakage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Teste Cego (test)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380 (5,8%)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x̄ = -0,0218 ≠ 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s = 1,0182 ≠ 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[COMPROVADO] Zero Leakage</w:t>
            </w:r>
          </w:p>
        </w:tc>
      </w:tr>
    </w:tbl>
    <w:p>
      <w:pPr>
        <w:spacing w:after="80"/>
      </w:pPr>
    </w:p>
    <w:p>
      <w:pPr>
        <w:spacing w:after="160"/>
      </w:pPr>
      <w:r>
        <w:t>Comprovação Matemática: Se as partições de validação e teste apresentassem média rigorosamente igual a 0,0000 e desvio 1,0000, haveria vazamento grave (pois indicaria que foram incluídas no cálculo global do StandardScaler). O fato de suas médias desviarem levemente de zero prova que os dados permaneceram não vistos durante o aprendizado da escala. Adicionalmente, injetou-se ruído intencional no conjunto de teste em um teste adversarial: os atributos internos do pipeline serializado permaneceram 100% inalterados bit a bit (0% de contaminação).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42D55"/>
          <w:sz w:val="30"/>
        </w:rPr>
        <w:t>7. Apresentação da Tabela Analítica Base Final (abt_features_modelagem)</w:t>
      </w:r>
    </w:p>
    <w:p>
      <w:pPr>
        <w:spacing w:after="80"/>
      </w:pPr>
      <w:r>
        <w:t>A base final consolidada abt_features_modelagem unifica em uma estrutura tabular plana os 5 metadados de controle e as 35 features preditivas normalizadas e codificadas, totalizando 40 colunas:</w:t>
      </w:r>
    </w:p>
    <w:p>
      <w:pPr>
        <w:spacing w:after="120"/>
      </w:pPr>
      <w:r>
        <w:rPr>
          <w:b/>
        </w:rPr>
        <w:t xml:space="preserve">• Volumetria e Qualidade: </w:t>
      </w:r>
      <w:r>
        <w:t>Rigorosamente 6.571 instâncias x 40 colunas, com ZERO NaNs (0 valores ausentes) em 100% dos dados.</w:t>
        <w:br/>
      </w:r>
      <w:r>
        <w:rPr>
          <w:b/>
        </w:rPr>
        <w:t xml:space="preserve">• Metadados de Controle Preservados: </w:t>
      </w:r>
      <w:r>
        <w:t>sample_id (chave UUID imutável), split_partition (train: 5.574, valid: 617, test: 380), class_label, target_binary (1.146 sadias vs 5.425 doentes) e target_multiclass (0 a 6).</w:t>
        <w:br/>
      </w:r>
      <w:r>
        <w:rPr>
          <w:b/>
        </w:rPr>
        <w:t xml:space="preserve">• Features Preditivas Modelagem: </w:t>
      </w:r>
      <w:r>
        <w:t>17 contínuas padronizadas Z-score e 18 categóricas codificadas via One-Hot.</w:t>
      </w:r>
    </w:p>
    <w:p>
      <w:pPr>
        <w:spacing w:after="80"/>
      </w:pPr>
      <w:r>
        <w:rPr>
          <w:b/>
        </w:rPr>
        <w:t>Tabela 3: Benchmark de performance de I/O — Apache Parquet vs CSV: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2782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Dimensão Avaliada</w:t>
            </w:r>
          </w:p>
        </w:tc>
        <w:tc>
          <w:tcPr>
            <w:tcW w:type="dxa" w:w="2304"/>
            <w:shd w:fill="2782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Apache Parquet (.parquet)</w:t>
            </w:r>
          </w:p>
        </w:tc>
        <w:tc>
          <w:tcPr>
            <w:tcW w:type="dxa" w:w="2304"/>
            <w:shd w:fill="2782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Texto Plano (.csv)</w:t>
            </w:r>
          </w:p>
        </w:tc>
        <w:tc>
          <w:tcPr>
            <w:tcW w:type="dxa" w:w="2592"/>
            <w:shd w:fill="2782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Ganho / Vantagem Prática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Tamanho em Disco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916,92 KB (0,90 MB)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2.989,66 KB (2,92 MB)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3,26x menor (-69,3% de tráfego)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Tempo Médio de I/O</w:t>
            </w:r>
          </w:p>
        </w:tc>
        <w:tc>
          <w:tcPr>
            <w:tcW w:type="dxa" w:w="23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36,19 ms</w:t>
            </w:r>
          </w:p>
        </w:tc>
        <w:tc>
          <w:tcPr>
            <w:tcW w:type="dxa" w:w="23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51,01 ms</w:t>
            </w:r>
          </w:p>
        </w:tc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1,41x mais rápido em loops CV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Preservação de Tipos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Estrita (int64, float64)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Inferência textual de parsing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Zero risco de coerção de tipos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Compressão Utilizada</w:t>
            </w:r>
          </w:p>
        </w:tc>
        <w:tc>
          <w:tcPr>
            <w:tcW w:type="dxa" w:w="23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Snappy (Colunar binário)</w:t>
            </w:r>
          </w:p>
        </w:tc>
        <w:tc>
          <w:tcPr>
            <w:tcW w:type="dxa" w:w="23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Nenhuma (ASCII bruto)</w:t>
            </w:r>
          </w:p>
        </w:tc>
        <w:tc>
          <w:tcPr>
            <w:tcW w:type="dxa" w:w="25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Alta densidade e eficiência de RAM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</w:rPr>
        <w:t>Hashes Criptográficos SHA-256 (Registrados no Manifesto):</w:t>
      </w:r>
      <w:r>
        <w:br/>
        <w:t>• Parquet: e6bd41ebff356e2c2e6be8985f0026dfb0a11364c4c4f729657223cf103c4340</w:t>
      </w:r>
      <w:r>
        <w:br/>
        <w:t>• CSV:     b37d65c2bd7928eb2e76948b3540542a17ecdc28b000cffa2e990731e4128edc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42D55"/>
          <w:sz w:val="30"/>
        </w:rPr>
        <w:t>8. Checklist de Governança, QA e Definition of Done (DoD)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Item do Checklist DoD</w:t>
            </w:r>
          </w:p>
        </w:tc>
        <w:tc>
          <w:tcPr>
            <w:tcW w:type="dxa" w:w="3744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Evidência Técnica Comprovada</w:t>
            </w:r>
          </w:p>
        </w:tc>
        <w:tc>
          <w:tcPr>
            <w:tcW w:type="dxa" w:w="1440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440"/>
            <w:shd w:fill="142D5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Líder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Descritores Cromáticos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Índices ExG, ExR, R/G e HSV com p &lt; 10⁻¹⁵ e Cohen's d &gt; 5.0.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Concluído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César</w:t>
            </w:r>
          </w:p>
        </w:tc>
      </w:tr>
      <w:tr>
        <w:tc>
          <w:tcPr>
            <w:tcW w:type="dxa" w:w="316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Descritores Texturais</w:t>
            </w:r>
          </w:p>
        </w:tc>
        <w:tc>
          <w:tcPr>
            <w:tcW w:type="dxa" w:w="374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Matriz GLCM 4 direções, Haralick e IRFP invariantes a rotação.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Concluído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César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Pipeline Atômico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ColumnTransformer com sub-pipelines e remainder='drop'.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Concluído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Elisa</w:t>
            </w:r>
          </w:p>
        </w:tc>
      </w:tr>
      <w:tr>
        <w:tc>
          <w:tcPr>
            <w:tcW w:type="dxa" w:w="316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Zero Data Leakage</w:t>
            </w:r>
          </w:p>
        </w:tc>
        <w:tc>
          <w:tcPr>
            <w:tcW w:type="dxa" w:w="374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fit_transform exclusivo em Train; transform em Valid e Test.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Concluído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Elisa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Auditoria de Nulos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0 NaNs em 6.571 registros x 40 colunas comprovado em log.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Concluído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Marvin</w:t>
            </w:r>
          </w:p>
        </w:tc>
      </w:tr>
      <w:tr>
        <w:tc>
          <w:tcPr>
            <w:tcW w:type="dxa" w:w="3168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Exportação Dual Parquet/CSV</w:t>
            </w:r>
          </w:p>
        </w:tc>
        <w:tc>
          <w:tcPr>
            <w:tcW w:type="dxa" w:w="374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282C34"/>
                <w:sz w:val="18"/>
              </w:rPr>
              <w:t>Arquivos gerados com hashes SHA-256 em manifesto JSON.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Concluído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Calibri" w:hAnsi="Calibri"/>
                <w:color w:val="282C34"/>
                <w:sz w:val="18"/>
              </w:rPr>
              <w:t>Heitor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42D55"/>
          <w:sz w:val="30"/>
        </w:rPr>
        <w:t>9. Dossiê de Artefatos Gerados na Fase Modify</w:t>
      </w:r>
    </w:p>
    <w:p>
      <w:pPr>
        <w:spacing w:after="80"/>
      </w:pPr>
      <w:r>
        <w:t>Todos os artefatos gerados encontram-se versionados e auditáveis no repositório:</w:t>
      </w:r>
    </w:p>
    <w:p>
      <w:pPr>
        <w:spacing w:after="160"/>
      </w:pPr>
      <w:r>
        <w:rPr>
          <w:b/>
        </w:rPr>
        <w:t xml:space="preserve">• Módulos Python Executáveis: </w:t>
      </w:r>
      <w:r>
        <w:t>src/feature_engineering_visual.py, src/atomic_pipeline_preprocessing.py, src/export_final_modeling_abt.py.</w:t>
        <w:br/>
      </w:r>
      <w:r>
        <w:rPr>
          <w:b/>
        </w:rPr>
        <w:t xml:space="preserve">• Notebooks Demonstrativos: </w:t>
      </w:r>
      <w:r>
        <w:t>notebooks/06_pipeline_atomico_columntransformer.ipynb, notebooks/07_consolidacao_exportacao_abt_final.ipynb.</w:t>
        <w:br/>
      </w:r>
      <w:r>
        <w:rPr>
          <w:b/>
        </w:rPr>
        <w:t xml:space="preserve">• Modelos e Metadados Serializados: </w:t>
      </w:r>
      <w:r>
        <w:t>models/preprocessor_pipeline.joblib (2,58 KB), models/preprocessor_metadata.json.</w:t>
        <w:br/>
      </w:r>
      <w:r>
        <w:rPr>
          <w:b/>
        </w:rPr>
        <w:t xml:space="preserve">• Bases Analíticas Oficiais: </w:t>
      </w:r>
      <w:r>
        <w:t>data/processed/abt_features_modelagem.parquet (916,92 KB), data/processed/abt_features_modelagem.csv (2.989,66 KB), data/processed/abt_features_modelagem_manifest.json.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42D55"/>
          <w:sz w:val="30"/>
        </w:rPr>
        <w:t>10. Conclusão e Transição para a Fase Model (Sprint 3)</w:t>
      </w:r>
    </w:p>
    <w:p>
      <w:pPr>
        <w:spacing w:after="120"/>
      </w:pPr>
      <w:r>
        <w:t>A conclusão da Fase Modify representa a consolidação da base de engenharia de dados do SugarVision. A Tabela Analítica Base abt_features_modelagem encontra-se 100% homologada, sem valores nulos, rica em sinais fitopatológicos validados e blindada contra contaminação informacional. O teste de fumaça executado com GridSearchCV e Support Vector Machines (SVM RBF) confirmou a plena prontidão para a Fase Model na Sprint 3, com execução em 0,05 segundos e F1-Score preliminar unitário na partição de desenvolvimento.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BF3FD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1E5AB4"/>
                <w:sz w:val="20"/>
              </w:rPr>
              <w:t>★ TRANSIÇÃO IMEDIATA: SPRINT 3 (FASE MODEL — SVM &amp; GRIDSEARCHCV)</w:t>
              <w:br/>
            </w:r>
            <w:r>
              <w:rPr>
                <w:color w:val="1E232D"/>
                <w:sz w:val="19"/>
              </w:rPr>
              <w:t>A Squad 2 avança para a exploração exaustiva dos hiperparâmetros C e gamma no SVM, validação cruzada estratificada em 5 folds (StratifiedKFold) consumindo o arquivo Apache Parquet e calibração final de probabilidades com Platt Scaling para diagnóstico fitossanitário no campo.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