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Aplique a su proyecto cada una de las pruebas descritas en el capítulo, iniciando en la prueba de Unidad. En cada caso, detalle quiénes, describa cómo (en pasos), qué probaría y especifique los formatos en los cuales se especifiquen los resultados finales de cada prueba.</w:t>
      </w:r>
    </w:p>
    <w:tbl>
      <w:tblPr>
        <w:tblStyle w:val="18"/>
        <w:tblpPr w:leftFromText="180" w:rightFromText="180" w:vertAnchor="text" w:horzAnchor="page" w:tblpX="1432" w:tblpY="302"/>
        <w:tblOverlap w:val="never"/>
        <w:tblW w:w="9245" w:type="dxa"/>
        <w:tblInd w:w="0" w:type="dxa"/>
        <w:tblBorders>
          <w:top w:val="single" w:color="FABF8F" w:themeColor="accent6" w:themeTint="99" w:sz="4" w:space="0"/>
          <w:left w:val="single" w:color="FABF8F" w:themeColor="accent6" w:themeTint="99" w:sz="4" w:space="0"/>
          <w:bottom w:val="single" w:color="FABF8F" w:themeColor="accent6" w:themeTint="99" w:sz="4" w:space="0"/>
          <w:right w:val="single" w:color="FABF8F" w:themeColor="accent6" w:themeTint="99" w:sz="4" w:space="0"/>
          <w:insideH w:val="single" w:color="FABF8F" w:themeColor="accent6" w:themeTint="99" w:sz="4" w:space="0"/>
          <w:insideV w:val="single" w:color="FABF8F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6473"/>
      </w:tblGrid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  <w:insideV w:val="nil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Prueba de Unidad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7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647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cs="Arial"/>
                <w:color w:val="000000"/>
                <w:sz w:val="24"/>
                <w:szCs w:val="24"/>
                <w:lang w:val="en-US"/>
              </w:rPr>
              <w:t>Dinnibel Azcona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27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64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Asignacion de delivery</w:t>
            </w:r>
          </w:p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Generacion de ruta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 de pasos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Controlar el flujo de datos</w:t>
            </w:r>
            <w:r>
              <w:rPr>
                <w:rFonts w:hint="default" w:ascii="Arial" w:hAnsi="Arial" w:cs="Arial"/>
                <w:b w:val="0"/>
                <w:bCs/>
                <w:color w:val="000000"/>
                <w:sz w:val="24"/>
                <w:szCs w:val="24"/>
                <w:lang w:val="en-US"/>
              </w:rPr>
              <w:t>.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Revisar integridad de los datos.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 xml:space="preserve">Comprobar restricciones en cada módulo. 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Asegurar que todas las sentencias de cada módulo a probar se ejecutan al menos en una ocasión.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Manejo de errores.</w:t>
            </w:r>
            <w:bookmarkStart w:id="0" w:name="_GoBack"/>
            <w:bookmarkEnd w:id="0"/>
          </w:p>
          <w:p>
            <w:pPr>
              <w:pStyle w:val="19"/>
              <w:widowControl/>
              <w:autoSpaceDE/>
              <w:autoSpaceDN/>
              <w:ind w:left="720" w:firstLine="0"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Style w:val="18"/>
        <w:tblW w:w="9245" w:type="dxa"/>
        <w:tblInd w:w="0" w:type="dxa"/>
        <w:tblBorders>
          <w:top w:val="single" w:color="FABF8F" w:themeColor="accent6" w:themeTint="99" w:sz="4" w:space="0"/>
          <w:left w:val="single" w:color="FABF8F" w:themeColor="accent6" w:themeTint="99" w:sz="4" w:space="0"/>
          <w:bottom w:val="single" w:color="FABF8F" w:themeColor="accent6" w:themeTint="99" w:sz="4" w:space="0"/>
          <w:right w:val="single" w:color="FABF8F" w:themeColor="accent6" w:themeTint="99" w:sz="4" w:space="0"/>
          <w:insideH w:val="single" w:color="FABF8F" w:themeColor="accent6" w:themeTint="99" w:sz="4" w:space="0"/>
          <w:insideV w:val="single" w:color="FABF8F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6473"/>
      </w:tblGrid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  <w:insideV w:val="nil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Prueba de Integración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7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647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cs="Arial"/>
                <w:color w:val="000000"/>
                <w:sz w:val="24"/>
                <w:szCs w:val="24"/>
                <w:lang w:val="en-US"/>
              </w:rPr>
              <w:t>Dinnibel Azcona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27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64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Asignacion de delivery</w:t>
            </w:r>
          </w:p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Generacion de ruta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 de pasos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3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Usar módulo principal como controlador.</w:t>
            </w:r>
          </w:p>
          <w:p>
            <w:pPr>
              <w:pStyle w:val="19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Verificación de como un módulo apoya el otro.</w:t>
            </w:r>
          </w:p>
          <w:p>
            <w:pPr>
              <w:pStyle w:val="19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Hacer prueba de regresión y asegurar la ausencia de nuevos errores.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  <w:insideV w:val="nil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Prueba de validación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7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647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cs="Arial"/>
                <w:color w:val="000000"/>
                <w:sz w:val="24"/>
                <w:szCs w:val="24"/>
                <w:lang w:val="en-US"/>
              </w:rPr>
              <w:t>Sugeiri Torres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27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64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Asignacion de delivery</w:t>
            </w:r>
          </w:p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Generacion de ruta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 de pasos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Realizar prueba de caja negra.</w:t>
            </w:r>
          </w:p>
          <w:p>
            <w:pPr>
              <w:pStyle w:val="19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Realizar pruebas alfa y beta.</w:t>
            </w:r>
          </w:p>
        </w:tc>
      </w:tr>
    </w:tbl>
    <w:p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18"/>
        <w:tblW w:w="9245" w:type="dxa"/>
        <w:tblInd w:w="0" w:type="dxa"/>
        <w:tblBorders>
          <w:top w:val="single" w:color="FABF8F" w:themeColor="accent6" w:themeTint="99" w:sz="4" w:space="0"/>
          <w:left w:val="single" w:color="FABF8F" w:themeColor="accent6" w:themeTint="99" w:sz="4" w:space="0"/>
          <w:bottom w:val="single" w:color="FABF8F" w:themeColor="accent6" w:themeTint="99" w:sz="4" w:space="0"/>
          <w:right w:val="single" w:color="FABF8F" w:themeColor="accent6" w:themeTint="99" w:sz="4" w:space="0"/>
          <w:insideH w:val="single" w:color="FABF8F" w:themeColor="accent6" w:themeTint="99" w:sz="4" w:space="0"/>
          <w:insideV w:val="single" w:color="FABF8F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6473"/>
      </w:tblGrid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  <w:insideV w:val="nil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Prueba de Sistema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7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647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Basilio de Jesús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27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64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Asignacion de delivery</w:t>
            </w:r>
          </w:p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Generacion de ruta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 de pasos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</w:trPr>
        <w:tc>
          <w:tcPr>
            <w:tcW w:w="924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Hacer prueba de recuperación.</w:t>
            </w:r>
          </w:p>
          <w:p>
            <w:pPr>
              <w:pStyle w:val="19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Realizar prueba de resistencia.</w:t>
            </w:r>
          </w:p>
          <w:p>
            <w:pPr>
              <w:pStyle w:val="19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Llevar a cabo una prueba de seguridad.</w:t>
            </w:r>
          </w:p>
          <w:p>
            <w:pPr>
              <w:pStyle w:val="19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Probar rendimiento.</w:t>
            </w:r>
          </w:p>
        </w:tc>
      </w:tr>
    </w:tbl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tabs>
          <w:tab w:val="left" w:pos="862"/>
        </w:tabs>
        <w:spacing w:before="1" w:line="276" w:lineRule="auto"/>
        <w:ind w:right="135"/>
        <w:jc w:val="both"/>
        <w:rPr>
          <w:rFonts w:ascii="Arial" w:hAnsi="Arial" w:cs="Arial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B75"/>
    <w:multiLevelType w:val="multilevel"/>
    <w:tmpl w:val="00A02B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80D5DE"/>
    <w:multiLevelType w:val="multilevel"/>
    <w:tmpl w:val="1480D5DE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4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CDB2726"/>
    <w:multiLevelType w:val="multilevel"/>
    <w:tmpl w:val="1CDB27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6A8071F"/>
    <w:multiLevelType w:val="multilevel"/>
    <w:tmpl w:val="36A807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BD5E8E"/>
    <w:multiLevelType w:val="multilevel"/>
    <w:tmpl w:val="4FBD5E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3DE3BBA"/>
    <w:multiLevelType w:val="multilevel"/>
    <w:tmpl w:val="53DE3B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3DA60DE"/>
    <w:rsid w:val="0976251D"/>
    <w:rsid w:val="0DAB7DAA"/>
    <w:rsid w:val="10930519"/>
    <w:rsid w:val="11A1459D"/>
    <w:rsid w:val="165F1BB2"/>
    <w:rsid w:val="178012F7"/>
    <w:rsid w:val="18492719"/>
    <w:rsid w:val="18844EC2"/>
    <w:rsid w:val="19836886"/>
    <w:rsid w:val="1D7B652C"/>
    <w:rsid w:val="20515B37"/>
    <w:rsid w:val="20AE7039"/>
    <w:rsid w:val="2BAD03C5"/>
    <w:rsid w:val="304D65C5"/>
    <w:rsid w:val="35966400"/>
    <w:rsid w:val="36CC650A"/>
    <w:rsid w:val="37AE18E9"/>
    <w:rsid w:val="3B7361C2"/>
    <w:rsid w:val="40CC3CE3"/>
    <w:rsid w:val="41FA0656"/>
    <w:rsid w:val="4261400B"/>
    <w:rsid w:val="45A561D7"/>
    <w:rsid w:val="45C070E2"/>
    <w:rsid w:val="47987BDA"/>
    <w:rsid w:val="524A6FCB"/>
    <w:rsid w:val="54D053B7"/>
    <w:rsid w:val="54E829DF"/>
    <w:rsid w:val="573548DF"/>
    <w:rsid w:val="5BA27C4A"/>
    <w:rsid w:val="5CDF6DD3"/>
    <w:rsid w:val="60C325FA"/>
    <w:rsid w:val="60F45ECA"/>
    <w:rsid w:val="636B1143"/>
    <w:rsid w:val="6C4842D3"/>
    <w:rsid w:val="6DCA3BE5"/>
    <w:rsid w:val="732652E4"/>
    <w:rsid w:val="75D715F1"/>
    <w:rsid w:val="78CC1EDB"/>
    <w:rsid w:val="7A1846FB"/>
    <w:rsid w:val="7B7F63D3"/>
    <w:rsid w:val="7C666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Grid Table 4 Accent 6"/>
    <w:basedOn w:val="11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paragraph" w:styleId="19">
    <w:name w:val="List Paragraph"/>
    <w:basedOn w:val="1"/>
    <w:qFormat/>
    <w:uiPriority w:val="34"/>
    <w:pPr>
      <w:widowControl w:val="0"/>
      <w:autoSpaceDE w:val="0"/>
      <w:autoSpaceDN w:val="0"/>
      <w:spacing w:after="0" w:line="240" w:lineRule="auto"/>
      <w:ind w:left="861" w:hanging="360"/>
    </w:pPr>
    <w:rPr>
      <w:rFonts w:ascii="Comic Sans MS" w:hAnsi="Comic Sans MS" w:eastAsia="Comic Sans MS" w:cs="Comic Sans MS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Quilvio_C55</cp:lastModifiedBy>
  <dcterms:modified xsi:type="dcterms:W3CDTF">2020-12-14T20:32:46Z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