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4"/>
        </w:rPr>
        <w:t>메디브러리 (Medibrary)</w:t>
      </w:r>
    </w:p>
    <w:p>
      <w:pPr>
        <w:jc w:val="center"/>
      </w:pPr>
      <w:r>
        <w:rPr>
          <w:rFonts w:ascii="Malgun Gothic" w:hAnsi="Malgun Gothic" w:eastAsia="Malgun Gothic"/>
          <w:b/>
          <w:sz w:val="34"/>
        </w:rPr>
        <w:t>요구사항 정의서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0"/>
        </w:rPr>
        <w:t>SKALA 웹서비스 개발 Mini Project · 분석/설계 산출물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최종 수정일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Medibrary Team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4"/>
        </w:rPr>
        <w:t>수정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일자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3969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2026-08-18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Medibrary Team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분리 산출물 작성 및 최신 구현 사항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1. 문서 목적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본 문서는 메디브러리의 기능·비기능 요구사항, 우선순위, 화면 추적 정보를 정의한다. 구현 및 테스트는 요구사항 ID를 기준으로 관리한다.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2. 시스템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803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메디브러리(Medibrary)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의약품 검색, 상세·부작용·DUR 확인, 즐겨찾기, 대시보드, 해외 동일 성분 제품 조회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기술 스택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Vue 3 / Spring Boot 3 / PostgreSQL(Supabase) / Render / Vercel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연동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식약처 낱알식별·e약은요·DUR, openFDA FAERS·NDC Directory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3.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요구사항명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상세 요구사항</w:t>
            </w:r>
          </w:p>
        </w:tc>
        <w:tc>
          <w:tcPr>
            <w:tcW w:type="dxa" w:w="79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79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난이도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관련 화면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회원가입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이메일·비밀번호·이름을 입력받아 신규 사용자를 등록하고, 중복 이메일을 검증한다.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SCR-AUTH-002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이메일·비밀번호를 인증하고 JWT를 발급하여 인증 상태를 유지한다.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SCR-AUTH-001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 이름 검색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 이름 키워드로 의약품을 검색하고 결과 목록을 제공한다.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모양·색깔 검색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모양·색깔·식별표시 조건으로 의약품을 검색한다.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검색결과 이미지 표시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결과별 낱알 식별 이미지를 표시하고 이미지 없음을 안전하게 처리한다.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 상세 조회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제품명·제조사·주성분·모양과 효능·용법·주의사항을 탭 방식으로 조회한다.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부작용 조회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e약은요 기반 국내 허가사항의 이상반응 정보를 조회한다.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부작용 조회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openFDA FAERS 기반 해외 자발보고 이상반응을 조회한다.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병용금기(DUR) 체크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약 조합과 현재 상세 약의 병용금기·주의 정보를 DUR로 확인한다.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SCR-DETAIL-001, SCR-MY-001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등록·해제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화면의 하트 버튼으로 의약품을 즐겨찾기에 등록하거나 해제한다.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목록 조회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 사용자의 즐겨찾기 목록과 관련 DUR 경고를 조회한다.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SCR-MY-001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대시보드 요약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최근 검색 5건, 즐겨찾기 수, 병용금기 경고 수를 요약 표시한다.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SCR-DASH-001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국내·해외 부작용 비교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허가사항과 FAERS 상위 보고 항목·건수를 비교하고 국내 문서 미언급 항목을 보조 표시한다.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동일 성분·효능군 중복 경고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약 기준 동일 성분 및 DUR 효능군 중복 가능성을 표시한다.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동일 성분 제품 조회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약과 주성분이 같은 미국 유통 제품을 별도 탭에서 조회한다.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4.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요구사항명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상세 요구사항</w:t>
            </w:r>
          </w:p>
        </w:tc>
        <w:tc>
          <w:tcPr>
            <w:tcW w:type="dxa" w:w="79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79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난이도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관련 화면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API 장애 대응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API 지연·실패 시 캐시 또는 해당 영역의 안내 문구로 폴백하며, 화면 전체는 유지한다.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SCR-SEARCH-001, 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인증 보안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해시 저장, JWT 인증·인가, 인증 필요 화면의 라우터 가드를 적용한다.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SCR-AUTH-001, SCR-AUTH-002, SCR-MY-001, SCR-DASH-001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응답 성능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캐시 적중은 평균 500ms, 외부 호출을 포함한 응답은 3초 이내를 목표로 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SCR-SEARCH-001, 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매핑 예외 처리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영문 성분명은 ingredient_en, ATC 코드, 한글 성분 사전 순으로 해석하고 실패 시 해당 영역만 정보 없음 처리한다.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반응형 UI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모바일·데스크톱에 대응하며 탭이 넘칠 경우 가로 스크롤을 제공한다.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전체 화면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로깅·모니터링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연동 실패와 API 오류의 원인을 로그로 추적한다.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SCR-SEARCH-001, SCR-DETAIL-001, SCR-MY-001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 테마 일관성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메인 테마색과 카드·버튼·오류·위험 배지의 시각 규칙을 일관되게 적용한다.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전체 화면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의약품 정보 고지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제품은 국내 제품과 함량·제형·허가사항이 다를 수 있으며 반입·복용 전 상담이 필요함을 표시한다.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5. 요구사항 관리 원칙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모든 구현·테스트·화면 설계는 REQ ID를 참조한다. 외부 API 실패는 서비스 전체 실패가 아니라 해당 정보 영역의 부분 실패로 처리하며, 해외 정보는 의약품 구매·복용 권고가 아닌 비교 참고 정보로 제공한다.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