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A9A09" w14:textId="44B9C333" w:rsidR="00656009" w:rsidRDefault="000F6D04">
      <w:pPr>
        <w:pStyle w:val="Heading1"/>
        <w:jc w:val="center"/>
      </w:pPr>
      <w:r>
        <w:t xml:space="preserve">Apex Electronics Ltd – FY2024 Board Paper </w:t>
      </w:r>
    </w:p>
    <w:p w14:paraId="33F4032B" w14:textId="768418D6" w:rsidR="00656009" w:rsidRDefault="000F6D04">
      <w:pPr>
        <w:jc w:val="center"/>
      </w:pPr>
      <w:r>
        <w:t>Date: 3</w:t>
      </w:r>
      <w:r w:rsidR="007C3A0B">
        <w:t>1</w:t>
      </w:r>
      <w:r>
        <w:t xml:space="preserve"> </w:t>
      </w:r>
      <w:r w:rsidR="007C3A0B">
        <w:t>January</w:t>
      </w:r>
      <w:r>
        <w:t xml:space="preserve"> 202</w:t>
      </w:r>
      <w:r w:rsidR="007C3A0B">
        <w:t>5</w:t>
      </w:r>
    </w:p>
    <w:p w14:paraId="332A4F6E" w14:textId="77777777" w:rsidR="00656009" w:rsidRDefault="000F6D04">
      <w:pPr>
        <w:jc w:val="center"/>
      </w:pPr>
      <w:r>
        <w:t>Confidential – For Board Use Only</w:t>
      </w:r>
    </w:p>
    <w:p w14:paraId="7935FB62" w14:textId="77777777" w:rsidR="00656009" w:rsidRDefault="000F6D04">
      <w:r>
        <w:br w:type="page"/>
      </w:r>
    </w:p>
    <w:p w14:paraId="26F9E94C" w14:textId="77777777" w:rsidR="00656009" w:rsidRDefault="000F6D04">
      <w:pPr>
        <w:pStyle w:val="Heading2"/>
      </w:pPr>
      <w:r>
        <w:lastRenderedPageBreak/>
        <w:t>1. Executive Summary</w:t>
      </w:r>
    </w:p>
    <w:p w14:paraId="5C77C47A" w14:textId="38BBCFF5" w:rsidR="00656009" w:rsidRDefault="000F6D04">
      <w:r>
        <w:t>The Group delivered resilient FY2024 performance, highlighted by the May‑2024 Smart Security launch and a targeted restructure in AU. However, sustained management‑level instability within the New Zealand (NZ) entity — including leadership churn and elongated vacancy coverage — has coincided with a gradual deterioration in its operating performance and declining EBITDA margins. This paper outlines causation, financial impact, and the immediate stabilisation plan for NZ.</w:t>
      </w:r>
    </w:p>
    <w:p w14:paraId="79B95B2D" w14:textId="77777777" w:rsidR="00656009" w:rsidRDefault="000F6D04">
      <w:pPr>
        <w:pStyle w:val="Heading2"/>
      </w:pPr>
      <w:r>
        <w:t>2. Company Overview</w:t>
      </w:r>
    </w:p>
    <w:p w14:paraId="56EBCBE7" w14:textId="5D763DE8" w:rsidR="00656009" w:rsidRDefault="000F6D04">
      <w:r>
        <w:t>Apex is an ASX‑listed designer and assembler of consumer and connected electronics with two operating entities for reporting: Apex Electronics AU and Apex Electronics NZ. The Group strategy remains anchored in product leadership, operational excellence, omnichannel distribution, and responsible growth (ESG).</w:t>
      </w:r>
    </w:p>
    <w:p w14:paraId="2EFA2ED1" w14:textId="77777777" w:rsidR="00656009" w:rsidRDefault="000F6D04">
      <w:pPr>
        <w:pStyle w:val="Heading2"/>
      </w:pPr>
      <w:r>
        <w:t>3. Macro &amp; Industry Context</w:t>
      </w:r>
    </w:p>
    <w:p w14:paraId="4EE2CFDB" w14:textId="77777777" w:rsidR="00656009" w:rsidRDefault="000F6D04">
      <w:r>
        <w:t>The sector expanded ~5.8% in FY2024; supply chains improved yet remained cost‑sensitive. Currency tailwinds in Q4 aided imports. Demand for connected home devices remains robust, supporting AU performance; NZ demand trends are stable but execution challenges have impaired conversion and margin realisation.</w:t>
      </w:r>
    </w:p>
    <w:p w14:paraId="6E4CECC8" w14:textId="77777777" w:rsidR="00656009" w:rsidRDefault="000F6D04">
      <w:pPr>
        <w:pStyle w:val="Heading2"/>
      </w:pPr>
      <w:r>
        <w:t>4. Group &amp; Entity Financial Performance</w:t>
      </w:r>
    </w:p>
    <w:p w14:paraId="1824A7E6" w14:textId="70088D9C" w:rsidR="00656009" w:rsidRDefault="000F6D04">
      <w:r>
        <w:t xml:space="preserve">FY2024 included a pronounced revenue step‑up in May following the Smart Security </w:t>
      </w:r>
      <w:r w:rsidR="00304020">
        <w:t xml:space="preserve">campaign </w:t>
      </w:r>
      <w:r>
        <w:t xml:space="preserve">launch </w:t>
      </w:r>
      <w:r w:rsidR="00DE0E44">
        <w:t xml:space="preserve">with a reseller Security Tech inc. </w:t>
      </w:r>
      <w:r>
        <w:t>(stronger in AU; modest in NZ)</w:t>
      </w:r>
      <w:r w:rsidR="00BE42B9">
        <w:t xml:space="preserve"> – this however </w:t>
      </w:r>
      <w:r w:rsidR="00304020">
        <w:t>appeared to be limited in duration as revenue run rate reduced to normal once the promotional sale period ended</w:t>
      </w:r>
      <w:r>
        <w:t>. AU executed a salary‑only restructuring in Q4 (one‑off Sep; sustained run‑rate reduction from Oct), supporting EBITDA expansion. NZ shows EBITDA decline on slightly higher structural cost ratios and execution slippage linked to leadership churn.</w:t>
      </w:r>
    </w:p>
    <w:p w14:paraId="17076C43" w14:textId="688132CC" w:rsidR="00656009" w:rsidRDefault="000F6D04">
      <w:pPr>
        <w:pStyle w:val="Heading2"/>
      </w:pPr>
      <w:r>
        <w:t>5. Operational Performance</w:t>
      </w:r>
    </w:p>
    <w:p w14:paraId="67A3933C" w14:textId="08FFA745" w:rsidR="007C3A0B" w:rsidRDefault="000F6D04" w:rsidP="007C3A0B">
      <w:r>
        <w:t>AU: Dual‑sourcing, predictive maintenance, and digital go‑to‑market continued to drive throughput and conversion, amplifying the Smart Security cycle. NZ: Incremental operating frictions — slower decision cycles, deferred supplier negotiations, and planning slippage — have resulted from leadership turnover and extended acting coverage. KPI slippage observed in inventory turns and campaign execution velocity.</w:t>
      </w:r>
    </w:p>
    <w:p w14:paraId="76B910D6" w14:textId="30EF4E82" w:rsidR="00656009" w:rsidRDefault="000F6D04">
      <w:pPr>
        <w:pStyle w:val="Heading2"/>
      </w:pPr>
      <w:r>
        <w:t>6. People &amp; Organisation</w:t>
      </w:r>
    </w:p>
    <w:p w14:paraId="23C025E9" w14:textId="41A3EB9F" w:rsidR="00EC5C12" w:rsidRDefault="000F6D04">
      <w:r>
        <w:t xml:space="preserve">AU: </w:t>
      </w:r>
      <w:r w:rsidR="00560ADF">
        <w:t xml:space="preserve">A </w:t>
      </w:r>
      <w:r>
        <w:t xml:space="preserve">restructure </w:t>
      </w:r>
      <w:r w:rsidR="00560ADF">
        <w:t xml:space="preserve">was </w:t>
      </w:r>
      <w:r>
        <w:t>executed in Q4</w:t>
      </w:r>
      <w:r w:rsidR="00560ADF">
        <w:t xml:space="preserve"> with </w:t>
      </w:r>
      <w:r>
        <w:t>headcount now aligned to automation programs with improved cost run‑rate.</w:t>
      </w:r>
    </w:p>
    <w:p w14:paraId="34C7D06A" w14:textId="719CB45C" w:rsidR="00656009" w:rsidRDefault="000F6D04">
      <w:r>
        <w:t>NZ: Management instability evidenced by 3 GM changes in 18 months</w:t>
      </w:r>
      <w:r w:rsidR="00A24F91">
        <w:t xml:space="preserve"> </w:t>
      </w:r>
      <w:r>
        <w:t>two critical vacancies (Sales Director; Supply Lead) filled by interim resources, and elevated attrition in mid‑management. Engagement survey signals reduced decision clarity and prioritisation conflicts.</w:t>
      </w:r>
    </w:p>
    <w:p w14:paraId="709330EC" w14:textId="77777777" w:rsidR="00656009" w:rsidRDefault="000F6D04">
      <w:r>
        <w:lastRenderedPageBreak/>
        <w:t>Immediate NZ Stabilisation Actions:</w:t>
      </w:r>
    </w:p>
    <w:p w14:paraId="59C8B356" w14:textId="77777777" w:rsidR="00656009" w:rsidRDefault="000F6D04">
      <w:pPr>
        <w:pStyle w:val="ListBullet"/>
      </w:pPr>
      <w:r>
        <w:t>Appoint experienced interim NZ GM with explicit 90‑day mandate and KPIs (margin recovery, supplier renegotiations, operating cadence).</w:t>
      </w:r>
    </w:p>
    <w:p w14:paraId="0394CFC6" w14:textId="77777777" w:rsidR="00656009" w:rsidRDefault="000F6D04">
      <w:pPr>
        <w:pStyle w:val="ListBullet"/>
      </w:pPr>
      <w:r>
        <w:t>Accelerate permanent hires for Sales Director and Supply Lead; introduce retention incentives for critical roles.</w:t>
      </w:r>
    </w:p>
    <w:p w14:paraId="7EF3971F" w14:textId="77777777" w:rsidR="00656009" w:rsidRDefault="000F6D04">
      <w:pPr>
        <w:pStyle w:val="ListBullet"/>
      </w:pPr>
      <w:r>
        <w:t>Institute weekly Sales &amp; Operations Planning (S&amp;OP) with AU oversight; embed AU PMO for 2 quarters to restore execution rhythm.</w:t>
      </w:r>
    </w:p>
    <w:p w14:paraId="61F9894E" w14:textId="77777777" w:rsidR="00656009" w:rsidRDefault="000F6D04">
      <w:pPr>
        <w:pStyle w:val="ListBullet"/>
      </w:pPr>
      <w:r>
        <w:t>Reopen supplier pricing rounds; implement short‑term inventory targets and aged‑stock clearance plan.</w:t>
      </w:r>
    </w:p>
    <w:p w14:paraId="3D1557B8" w14:textId="77777777" w:rsidR="00656009" w:rsidRDefault="000F6D04">
      <w:pPr>
        <w:pStyle w:val="ListBullet"/>
      </w:pPr>
      <w:r>
        <w:t>Standardise promotion calendar and measurement framework; re‑introduce AU best‑practice playbooks in NZ channel activation.</w:t>
      </w:r>
    </w:p>
    <w:p w14:paraId="76D2F446" w14:textId="77777777" w:rsidR="00656009" w:rsidRDefault="000F6D04">
      <w:pPr>
        <w:pStyle w:val="Heading2"/>
      </w:pPr>
      <w:r>
        <w:t>7. ESG and Risk &amp; Compliance</w:t>
      </w:r>
    </w:p>
    <w:p w14:paraId="15F217BF" w14:textId="41F058AB" w:rsidR="00656009" w:rsidRDefault="000F6D04">
      <w:r>
        <w:t>No material changes in ESG posture. From a risk perspective, management continuity risk has been elevated for NZ with Board oversight via a targeted remediation plan and monthly reporting. No material compliance breaches reported; internal controls remain effective.</w:t>
      </w:r>
    </w:p>
    <w:p w14:paraId="0385A6AC" w14:textId="77777777" w:rsidR="00656009" w:rsidRDefault="000F6D04">
      <w:pPr>
        <w:pStyle w:val="Heading2"/>
      </w:pPr>
      <w:r>
        <w:t>8. FY2025 Outlook &amp; Strategy</w:t>
      </w:r>
    </w:p>
    <w:p w14:paraId="3957D55F" w14:textId="6E9A7BE8" w:rsidR="00656009" w:rsidRDefault="000F6D04">
      <w:r>
        <w:t xml:space="preserve">AU: Expect continued operating leverage and salary run‑rate reset. NZ: Plan assumes </w:t>
      </w:r>
      <w:proofErr w:type="spellStart"/>
      <w:r>
        <w:t>stabilisation</w:t>
      </w:r>
      <w:proofErr w:type="spellEnd"/>
      <w:r>
        <w:t xml:space="preserve"> around H1 with sequential improvement in H2 as leadership gaps close and supplier terms reset; EBITDA margin recovery targeted at +120–180 bps by year‑end if remediation milestones are achieved.</w:t>
      </w:r>
    </w:p>
    <w:p w14:paraId="79A182E3" w14:textId="77777777" w:rsidR="00656009" w:rsidRDefault="000F6D04">
      <w:pPr>
        <w:pStyle w:val="Heading2"/>
      </w:pPr>
      <w:r>
        <w:t>9. Capital Allocation &amp; Liquidity</w:t>
      </w:r>
    </w:p>
    <w:p w14:paraId="44273573" w14:textId="77777777" w:rsidR="00656009" w:rsidRDefault="000F6D04">
      <w:r>
        <w:t>Liquidity remains sound at Group level; incremental working‑capital support may be temporarily directed to NZ to facilitate aged‑stock clearance and campaign normalisation, subject to governance gates and return thresholds.</w:t>
      </w:r>
    </w:p>
    <w:p w14:paraId="2F3A67B4" w14:textId="77777777" w:rsidR="00656009" w:rsidRDefault="000F6D04">
      <w:pPr>
        <w:pStyle w:val="Heading2"/>
      </w:pPr>
      <w:r>
        <w:t>10. Board Resolutions Requested</w:t>
      </w:r>
    </w:p>
    <w:p w14:paraId="6EA91F95" w14:textId="77777777" w:rsidR="00656009" w:rsidRDefault="000F6D04">
      <w:pPr>
        <w:pStyle w:val="ListBullet"/>
      </w:pPr>
      <w:r>
        <w:t>Endorse the NZ Stabilisation Plan and delegate authority to the CEO to execute personnel actions and supplier renegotiations within approved limits.</w:t>
      </w:r>
    </w:p>
    <w:p w14:paraId="692D83FF" w14:textId="77777777" w:rsidR="00656009" w:rsidRDefault="000F6D04">
      <w:pPr>
        <w:pStyle w:val="ListBullet"/>
      </w:pPr>
      <w:r>
        <w:t>Approve temporary PMO deployment budget and targeted retention incentives for NZ critical roles.</w:t>
      </w:r>
    </w:p>
    <w:p w14:paraId="122DCAFF" w14:textId="77777777" w:rsidR="00656009" w:rsidRDefault="000F6D04">
      <w:pPr>
        <w:pStyle w:val="ListBullet"/>
      </w:pPr>
      <w:r>
        <w:t>Note AU salary‑only restructure completion and May‑2024 launch performance.</w:t>
      </w:r>
    </w:p>
    <w:p w14:paraId="54B82DD6" w14:textId="7003D69B" w:rsidR="00656009" w:rsidRDefault="000F6D04" w:rsidP="00A24F91">
      <w:pPr>
        <w:pStyle w:val="ListBullet"/>
      </w:pPr>
      <w:r>
        <w:t>Direct monthly NZ remediation reporting (EBITDA margin, S&amp;OP cadence, supplier terms progress).</w:t>
      </w:r>
    </w:p>
    <w:sectPr w:rsidR="006560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905115">
    <w:abstractNumId w:val="8"/>
  </w:num>
  <w:num w:numId="2" w16cid:durableId="1342926014">
    <w:abstractNumId w:val="6"/>
  </w:num>
  <w:num w:numId="3" w16cid:durableId="2143886103">
    <w:abstractNumId w:val="5"/>
  </w:num>
  <w:num w:numId="4" w16cid:durableId="472330798">
    <w:abstractNumId w:val="4"/>
  </w:num>
  <w:num w:numId="5" w16cid:durableId="1009135481">
    <w:abstractNumId w:val="7"/>
  </w:num>
  <w:num w:numId="6" w16cid:durableId="1288857284">
    <w:abstractNumId w:val="3"/>
  </w:num>
  <w:num w:numId="7" w16cid:durableId="834109412">
    <w:abstractNumId w:val="2"/>
  </w:num>
  <w:num w:numId="8" w16cid:durableId="1745495826">
    <w:abstractNumId w:val="1"/>
  </w:num>
  <w:num w:numId="9" w16cid:durableId="146099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D04"/>
    <w:rsid w:val="0015074B"/>
    <w:rsid w:val="0029639D"/>
    <w:rsid w:val="00304020"/>
    <w:rsid w:val="00326F90"/>
    <w:rsid w:val="004737F6"/>
    <w:rsid w:val="00560ADF"/>
    <w:rsid w:val="00604CA8"/>
    <w:rsid w:val="00605D87"/>
    <w:rsid w:val="00656009"/>
    <w:rsid w:val="007C3A0B"/>
    <w:rsid w:val="008B7BF4"/>
    <w:rsid w:val="00A24F91"/>
    <w:rsid w:val="00AA1D8D"/>
    <w:rsid w:val="00B47730"/>
    <w:rsid w:val="00B9556E"/>
    <w:rsid w:val="00BE42B9"/>
    <w:rsid w:val="00CB0664"/>
    <w:rsid w:val="00DE0E44"/>
    <w:rsid w:val="00EC5C12"/>
    <w:rsid w:val="00F64C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365DF6-5BC9-D942-9942-582051ACD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637</Words>
  <Characters>4019</Characters>
  <Application>Microsoft Office Word</Application>
  <DocSecurity>0</DocSecurity>
  <Lines>74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Grenfell, Philip</cp:lastModifiedBy>
  <cp:revision>13</cp:revision>
  <dcterms:created xsi:type="dcterms:W3CDTF">2013-12-23T23:15:00Z</dcterms:created>
  <dcterms:modified xsi:type="dcterms:W3CDTF">2026-02-25T22:21:00Z</dcterms:modified>
  <cp:category/>
</cp:coreProperties>
</file>