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97D"/>
          <w:sz w:val="36"/>
        </w:rPr>
        <w:t>Flow FL-100 全部临床前 + 临床研究清单表</w:t>
      </w:r>
    </w:p>
    <w:p>
      <w:pPr>
        <w:jc w:val="center"/>
      </w:pPr>
      <w:r>
        <w:rPr>
          <w:rFonts w:ascii="微软雅黑" w:hAnsi="微软雅黑" w:eastAsia="微软雅黑"/>
          <w:b w:val="0"/>
          <w:color w:val="595959"/>
          <w:sz w:val="24"/>
        </w:rPr>
        <w:t>（用于 Starstim 中国 NMPA 三类注册的工作分解清单）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95959"/>
          <w:sz w:val="20"/>
        </w:rPr>
        <w:t>来源：FDA SSED, PMA P230024（Flow FL-100，2025-12-08 批准）</w:t>
      </w:r>
    </w:p>
    <w:p>
      <w:pPr>
        <w:spacing w:before="200" w:after="100"/>
      </w:pPr>
      <w:r>
        <w:rPr>
          <w:rFonts w:ascii="微软雅黑" w:hAnsi="微软雅黑" w:eastAsia="微软雅黑"/>
          <w:b/>
          <w:color w:val="1F497D"/>
          <w:sz w:val="32"/>
        </w:rPr>
        <w:t>一、临床前研究清单（Pre-clinical Studies）——共 5 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680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587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研究项目</w:t>
            </w:r>
          </w:p>
        </w:tc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Flow FL-100 具体做法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Flow 判定/结果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FDA 依据标准</w:t>
            </w:r>
          </w:p>
        </w:tc>
        <w:tc>
          <w:tcPr>
            <w:tcW w:type="dxa" w:w="2835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中国对应标准/NMPA 要求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Starstim 预计时间</w:t>
            </w:r>
          </w:p>
        </w:tc>
        <w:tc>
          <w:tcPr>
            <w:tcW w:type="dxa" w:w="1020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Starstim 预计费用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P-01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生物相容性评价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 ISO 10993-1 风险管理路径评价</w:t>
              <w:br/>
              <w:t>接触部位：完整皮肤</w:t>
              <w:br/>
              <w:t>接触时长：单次≤30 min，累计&gt;24h（分散数月）</w:t>
              <w:br/>
              <w:t>材料：ABS 塑料 + 医用硅胶 + 纤维素海绵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风险低，通过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ISO 10993-1</w:t>
              <w:br/>
              <w:t>FDA Attachment G "Biocompatibility of Certain Devices in Contact with Intact Skin"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GB/T 16886.1 生物学评价与试验总则</w:t>
              <w:br/>
              <w:t>GB/T 16886.5 细胞毒性</w:t>
              <w:br/>
              <w:t>GB/T 16886.10 皮肤致敏</w:t>
              <w:br/>
              <w:t>GB/T 16886.23 皮内反应</w:t>
              <w:br/>
              <w:t>（可引用境外数据减少国内测试）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2–4 月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15–30 万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P-02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电磁兼容与电气安全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 3 项国际标准测试</w:t>
              <w:br/>
              <w:t>（含家用医疗设备并列标准）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合规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IEC 60601-1 通用安全</w:t>
              <w:br/>
              <w:t>IEC 60601-1-2 EMC 并列</w:t>
              <w:br/>
              <w:t>IEC 60601-1-11 家用医疗设备并列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GB 9706.1-2020 通用安全</w:t>
              <w:br/>
              <w:t>YY 9706.102-2021 EMC 并列</w:t>
              <w:br/>
              <w:t>YY 9706.111 家用医疗设备并列</w:t>
              <w:br/>
              <w:t>YY 9706.210-2021 神经肌肉刺激器专用要求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4–6 月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25–45 万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P-03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软件生存周期与网络安全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App 端（患者）</w:t>
              <w:br/>
              <w:t>CPP 医生端</w:t>
              <w:br/>
              <w:t>服务器后端</w:t>
              <w:br/>
              <w:t>软件安全等级：Major level of concern（三类要求）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文档充分</w:t>
              <w:br/>
              <w:t>满足三类要求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FDA Software Guidance</w:t>
              <w:br/>
              <w:t>FDA Cybersecurity Guidance</w:t>
              <w:br/>
              <w:t>SaMD (Software as Medical Device)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YY/T 0664-2020 医疗器械软件生存周期</w:t>
              <w:br/>
              <w:t>YY/T 1843-2022 医疗器械网络安全</w:t>
              <w:br/>
              <w:t>NMPA 软件注册审查指导原则 2022</w:t>
              <w:br/>
              <w:t>NMPA 网络安全注册审查指导原则 2022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3–6 月（与研发并行）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20–40 万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P-04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有效期验证（Shelf Life）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实测 + 加速老化推算</w:t>
              <w:br/>
              <w:t>头戴装置 + 一次性电极片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 年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ASTM F1980 加速老化</w:t>
              <w:br/>
              <w:t>ISO 11607 包装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YY/T 0681 系列 无菌医疗器械包装试验（可参考）</w:t>
              <w:br/>
              <w:t>注册需附加速老化 + 实时老化数据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6–12 月（加速老化）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10–20 万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P-05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性能验证（Performance Testing）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每台设备出厂验证输出电流 2.0 ± 0.05 mA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合规</w:t>
              <w:br/>
              <w:t>生产环节 100% 检验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产品技术要求自定义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产品技术要求（YY/T 组织自编）需覆盖：</w:t>
              <w:br/>
              <w:t>① 电流精度</w:t>
              <w:br/>
              <w:t>② 多通道波形一致性</w:t>
              <w:br/>
              <w:t>③ 总电荷密度安全阈值</w:t>
              <w:br/>
              <w:t>④ 皮肤接触阻抗监控</w:t>
              <w:br/>
              <w:t>⑤ 蓝牙通信稳定性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3–6 月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10–25 万</w:t>
            </w:r>
          </w:p>
        </w:tc>
      </w:tr>
    </w:tbl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60"/>
      </w:pPr>
      <w:r>
        <w:rPr>
          <w:rFonts w:ascii="微软雅黑" w:hAnsi="微软雅黑" w:eastAsia="微软雅黑"/>
          <w:b/>
          <w:sz w:val="22"/>
        </w:rPr>
        <w:t>临床前小计</w:t>
      </w:r>
    </w:p>
    <w:p>
      <w:pPr>
        <w:spacing w:after="60"/>
      </w:pPr>
      <w:r>
        <w:rPr>
          <w:rFonts w:ascii="微软雅黑" w:hAnsi="微软雅黑" w:eastAsia="微软雅黑"/>
          <w:b w:val="0"/>
          <w:color w:val="595959"/>
          <w:sz w:val="20"/>
        </w:rPr>
        <w:t>共 5 项；并行推进合计 6–9 个月；总费用估算 80–160 万元；均可外包给国家医疗器械检验所或 CNAS 认可第三方机构。</w:t>
      </w:r>
    </w:p>
    <w:p>
      <w:r>
        <w:br w:type="page"/>
      </w:r>
    </w:p>
    <w:p>
      <w:pPr>
        <w:spacing w:before="200" w:after="100"/>
      </w:pPr>
      <w:r>
        <w:rPr>
          <w:rFonts w:ascii="微软雅黑" w:hAnsi="微软雅黑" w:eastAsia="微软雅黑"/>
          <w:b/>
          <w:color w:val="1F497D"/>
          <w:sz w:val="32"/>
        </w:rPr>
        <w:t>二、临床研究清单（Clinical Studies）——共 2 项核心 + 9 项支撑文献</w:t>
      </w:r>
    </w:p>
    <w:p>
      <w:pPr>
        <w:spacing w:before="200" w:after="100"/>
      </w:pPr>
      <w:r>
        <w:rPr>
          <w:rFonts w:ascii="微软雅黑" w:hAnsi="微软雅黑" w:eastAsia="微软雅黑"/>
          <w:b/>
          <w:color w:val="365F91"/>
          <w:sz w:val="27"/>
        </w:rPr>
        <w:t>2.1 核心临床试验（2 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c>
          <w:tcPr>
            <w:tcW w:type="dxa" w:w="567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试验名称</w:t>
            </w:r>
          </w:p>
        </w:tc>
        <w:tc>
          <w:tcPr>
            <w:tcW w:type="dxa" w:w="1247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注册号/发表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设计</w:t>
            </w:r>
          </w:p>
        </w:tc>
        <w:tc>
          <w:tcPr>
            <w:tcW w:type="dxa" w:w="1020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样本量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中心</w:t>
            </w:r>
          </w:p>
        </w:tc>
        <w:tc>
          <w:tcPr>
            <w:tcW w:type="dxa" w:w="1304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入排要点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刺激方案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终点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统计方法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850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执行时长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C-01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Empower（关键 pivotal RCT）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IDE G210328</w:t>
              <w:br/>
              <w:br/>
              <w:t>NCT: (未公开)</w:t>
              <w:br/>
              <w:t>发表 Nat Med 2025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前瞻、多中心、双盲、随机、伪对照 2 臂 RCT</w:t>
              <w:br/>
              <w:t>+ 10 周开放标签期扩展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174 例（ITT）</w:t>
              <w:br/>
              <w:t>173 例（mITT）</w:t>
              <w:br/>
              <w:t>UK 115 + US 59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 家中心</w:t>
              <w:br/>
              <w:t>King's College Hospital（英国）</w:t>
              <w:br/>
              <w:t>UTHealth Houston（美国）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18+ MDD 当前发作期</w:t>
              <w:br/>
              <w:t>HDRS-17 ≥ 16</w:t>
              <w:br/>
              <w:t>排除 TRD</w:t>
              <w:br/>
              <w:t>共 15+35 条入排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Active: 2.0 mA × 30 min × 36 次</w:t>
              <w:br/>
              <w:t>前 3 周 5 次/周</w:t>
              <w:br/>
              <w:t>后 7 周 3 次/周</w:t>
              <w:br/>
              <w:br/>
              <w:t>Sham: ramp 1 mA/30s→0 mA/15s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主要：Wk10 HDRS-17 均分改变</w:t>
              <w:br/>
              <w:t>次要：9 项（HDRS-17/MADRS/MADRS-s 应答/缓解 + EQ-5D-3L）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MMRM 混合模型</w:t>
              <w:br/>
              <w:t>FCS 多重插补 20 数据集</w:t>
              <w:br/>
              <w:t>Rubin's Rule 合并</w:t>
              <w:br/>
              <w:t>Hochberg 多重性</w:t>
              <w:br/>
              <w:t>α=0.025 单侧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主要终点显著（Δ=-2.3，p=0.012）</w:t>
              <w:br/>
              <w:t>应答率 54.4% vs 26.9%</w:t>
              <w:br/>
              <w:t>缓解率 44.9% vs 21.8%</w:t>
              <w:br/>
              <w:t>无器械相关 SAE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14 月执行</w:t>
              <w:br/>
              <w:t>（22-06 → 23-08）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C-02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PSYLECT（补充临床）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NCT04889976</w:t>
              <w:br/>
              <w:t>发表 JAMA Psychiatry 2024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单中心 3 臂 RCT</w:t>
              <w:br/>
              <w:t>双盲 sham 对照</w:t>
              <w:br/>
              <w:br/>
              <w:t>① Active tDCS + iBT</w:t>
              <w:br/>
              <w:t>② Active tDCS + sham iBT</w:t>
              <w:br/>
              <w:t>③ 双 sham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210 例入组</w:t>
              <w:br/>
              <w:t>199 例完成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 家中心</w:t>
              <w:br/>
              <w:t>巴西圣保罗大学附属医院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18+ MDD</w:t>
              <w:br/>
              <w:t>HDRS-17 ≥ 17</w:t>
              <w:br/>
              <w:t>（更严格阈值）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Active: 2 mA × 30 min × 15 个连续工作日 + 之后 3 周每周 2 次</w:t>
              <w:br/>
              <w:t>Sham: 1 mA × 90s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主要：Wk6 HDRS-17 分数改变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线性混合效应模型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**阴性**</w:t>
              <w:br/>
              <w:t>未证明优于 sham</w:t>
              <w:br/>
              <w:t>所有 3 组间效应量差异不显著</w:t>
              <w:br/>
              <w:t>1 例非致死自杀企图（tDCS 组）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未披露</w:t>
            </w:r>
          </w:p>
        </w:tc>
      </w:tr>
    </w:tbl>
    <w:p>
      <w:pPr>
        <w:spacing w:before="200" w:after="100"/>
      </w:pPr>
      <w:r>
        <w:rPr>
          <w:rFonts w:ascii="微软雅黑" w:hAnsi="微软雅黑" w:eastAsia="微软雅黑"/>
          <w:b/>
          <w:color w:val="365F91"/>
          <w:sz w:val="27"/>
        </w:rPr>
        <w:t>2.2 支撑文献（Flow FL-100 或同类 tDCS 独立研究 · 9 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567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文献引用</w:t>
            </w:r>
          </w:p>
        </w:tc>
        <w:tc>
          <w:tcPr>
            <w:tcW w:type="dxa" w:w="4535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研究类型</w:t>
            </w:r>
          </w:p>
        </w:tc>
        <w:tc>
          <w:tcPr>
            <w:tcW w:type="dxa" w:w="3402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注册价值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L-01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Aparicio LVM et al. 2024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PSYLECT 维持期结果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开放标签维持期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 PSYLECT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L-02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Borrione L et al. 2021, J Affect Disord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家用 tDCS + App 心理干预治疗 MDD 的病例系列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病例系列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早期可行性验证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L-03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Borrione L et al. 2024, JAMA Psychiatry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PSYLECT 主论文（即 C-02）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RCT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 C-02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L-04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Woodham RD et al. 2022, J Psychiatr Res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辅助家用 tDCS 治疗 MDD 的开放标签可行性研究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单臂开放标签 + 长期随访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实时远程督导可行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L-05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Woodham RD et al. 2025, J Psychiatr Res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家用 tDCS 治疗 MDD 6 月随访（Empower 长期）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RCT 后续随访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Empower 6 月长期结果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L-06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Sobral M et al. 2022, Front Psychiatry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家用 tDCS 双阳性治疗抑郁焦虑症状的病例系列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病例系列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共病抑郁焦虑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L-07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Rezaei H et al. 2025, BMC Psychiatry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家用 tDCS 治疗双相抑郁的可接受性主题分析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定性研究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受试者体验研究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L-08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Baukaite E et al. 2024, Open J Depression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Flow tDCS 用于产褥期抑郁与丧偶服务对象的解释性现象学研究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定性研究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特殊人群探索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L-09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Ghazi-Noori AR et al. 2024, Int J Bipolar Disord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家用 tDCS 治疗双相抑郁的开放标签研究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单臂开放标签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双相扩展</w:t>
            </w:r>
          </w:p>
        </w:tc>
      </w:tr>
    </w:tbl>
    <w:p>
      <w:pPr>
        <w:spacing w:before="200" w:after="100"/>
      </w:pPr>
      <w:r>
        <w:rPr>
          <w:rFonts w:ascii="微软雅黑" w:hAnsi="微软雅黑" w:eastAsia="微软雅黑"/>
          <w:b/>
          <w:color w:val="365F91"/>
          <w:sz w:val="27"/>
        </w:rPr>
        <w:t>2.3 引用的方法学文献（3 项，用于方案设计参考）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850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402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文献引用</w:t>
            </w:r>
          </w:p>
        </w:tc>
        <w:tc>
          <w:tcPr>
            <w:tcW w:type="dxa" w:w="9354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内容/用途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M-01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Matsumoto &amp; Ugawa 2016, Clin Neurophysiol Pract</w:t>
            </w:r>
          </w:p>
        </w:tc>
        <w:tc>
          <w:tcPr>
            <w:tcW w:type="dxa" w:w="935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tDCS 和 tACS 不良反应综述——AE 收集清单来源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M-02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Brunoni AR et al. 2011, Int J Neuropsychopharmacol</w:t>
            </w:r>
          </w:p>
        </w:tc>
        <w:tc>
          <w:tcPr>
            <w:tcW w:type="dxa" w:w="935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tDCS 不良反应报告与评估系统综述——AEQ 量表来源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M-03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Szigeti B et al. 2023, Sci Rep</w:t>
            </w:r>
          </w:p>
        </w:tc>
        <w:tc>
          <w:tcPr>
            <w:tcW w:type="dxa" w:w="935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placebo 组 vs placebo 对照的差异——CGR 设盲调整方法来源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M-04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Brunoni AR et al. 2017, NEJM (ELECT-TDCS)</w:t>
            </w:r>
          </w:p>
        </w:tc>
        <w:tc>
          <w:tcPr>
            <w:tcW w:type="dxa" w:w="935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经典 tDCS vs 依他普仑 抗抑郁头对头 RCT——中国方案可作对照参考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M-05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Herdman M et al. 2011, Qual Life Res</w:t>
            </w:r>
          </w:p>
        </w:tc>
        <w:tc>
          <w:tcPr>
            <w:tcW w:type="dxa" w:w="935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EQ-5D-5L 开发与验证——生活质量量表选择依据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微软雅黑" w:hAnsi="微软雅黑" w:eastAsia="微软雅黑"/>
          <w:b/>
          <w:color w:val="1F497D"/>
          <w:sz w:val="32"/>
        </w:rPr>
        <w:t>三、Starstim 中国注册工作分解表（本报告综合建议）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850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680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工作项</w:t>
            </w:r>
          </w:p>
        </w:tc>
        <w:tc>
          <w:tcPr>
            <w:tcW w:type="dxa" w:w="3402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依据/参考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预计时间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预计费用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负责方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前期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W-01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CDE Pre-submission 沟通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分类界定（三类 09-03）+ 适应症锁定（推荐 MDD 辅助治疗）+ 临床方案框架确认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国家药监局政务服务门户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2–3 月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5–15 万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注册代理 + 内部注册组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前期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W-02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技术转让协议（与 Neuroelectrics）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设计文件、图纸、软件源代码、检验规范、生产工艺、专利许可、临床数据可引用性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Emergo by UL 中国注册指南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3–6 月（与 CDE 沟通并行）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30–80 万（法务）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法务 + Neuroelectrics 谈判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临床前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W-03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产品技术要求编制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覆盖 5 项非临床检验维度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对标 Flow FL-100 SSED §X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 月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5–10 万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注册代理 + 内部研发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临床前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W-04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生物相容性（P-01）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细胞毒性 + 皮肤致敏 + 皮内反应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GB/T 16886.5/10/23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2–4 月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15–30 万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国家医疗器械检验所或 CNAS 第三方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临床前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W-05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EMC + 电气安全（P-02）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GB 9706.1 + YY 9706.102 + YY 9706.111 + YY 9706.210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同上标准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4–6 月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25–45 万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临床前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W-06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软件 + 网络安全（P-03）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软件生存周期文档 + 网络安全测试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YY/T 0664 + YY/T 1843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3–6 月（与研发并行）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20–40 万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软件测评机构（如中软测评、赛宝）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临床前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W-07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有效期验证（P-04）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加速老化 + 实时老化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YY/T 0681 参考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6–12 月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10–20 万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内部实验室或第三方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临床前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W-08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出厂性能验证（P-05）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每台电流精度 100% 检验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产品技术要求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3–6 月（含产线搭建）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10–25 万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内部生产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临床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W-09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临床方案 + SAP 编写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基于 Empower 一比一映射，本土化改造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FDA SSED §XI + 依瑞德案例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 月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15–30 万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CRO + 精神科专家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临床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W-10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伦理审查（多中心）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 家三甲医院精神科伦理会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GCP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 月（并行）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9–15 万（3 中心）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临床中心 + CRO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临床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W-11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主临床试验（C-01 对应）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 中心 × 150 例 × 10 周盲态 + 10 周开放；主要终点 HAMD-17 均分改变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基于 Empower 设计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15–18 月（含入组+治疗+随访）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400–600 万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CRO + 3 家中心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临床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W-12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统计分析与总结报告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MMRM + FCS 插补 + Hochberg 多重性调整；CGR 设盲敏感性分析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基于 Empower 统计方法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3–4 月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20–40 万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独立统计单位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临床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W-13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临床评价报告（CER）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整合境外数据 + 中国 RCT 数据 + 与 TMS/ECT 对比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NMPA 2021 年第 73 号通告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 月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8–15 万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注册代理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注册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W-14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注册资料整理 + 递交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含技术要求、检验报告、CER、说明书、风险管理、体系文件等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NMPA 医疗器械注册资料要求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 月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5–10 万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注册代理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注册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W-15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技术审评 + 发补 + 体系核查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1–2 轮发补应对；境内生产企业现场体系核查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CDE 技术审评流程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12–18 月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30–50 万（发补应对）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注册代理 + 现场配合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注册</w:t>
            </w:r>
          </w:p>
        </w:tc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W-16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注册证发放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国械注准 20xxxxxx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NMPA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1–2 月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15.36 万（三类境内注册官费）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NMPA</w:t>
            </w:r>
          </w:p>
        </w:tc>
      </w:tr>
    </w:tbl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60"/>
      </w:pPr>
      <w:r>
        <w:rPr>
          <w:rFonts w:ascii="微软雅黑" w:hAnsi="微软雅黑" w:eastAsia="微软雅黑"/>
          <w:b/>
          <w:color w:val="C00000"/>
          <w:sz w:val="22"/>
        </w:rPr>
        <w:t>中国注册总计</w:t>
      </w:r>
    </w:p>
    <w:p>
      <w:pPr>
        <w:spacing w:after="60"/>
      </w:pPr>
      <w:r>
        <w:rPr>
          <w:rFonts w:ascii="微软雅黑" w:hAnsi="微软雅黑" w:eastAsia="微软雅黑"/>
          <w:b w:val="0"/>
          <w:color w:val="595959"/>
          <w:sz w:val="20"/>
        </w:rPr>
        <w:t>总工作项 16 项；关键路径 30–48 月（临床 W-11 主导）；总费用估算 640–1090 万元（不含"国产化落地"隐性成本）；合计与《引进国产化注册可行性评估报告》基线预算一致。</w:t>
      </w:r>
    </w:p>
    <w:p>
      <w:pPr>
        <w:spacing w:before="200" w:after="100"/>
      </w:pPr>
      <w:r>
        <w:rPr>
          <w:rFonts w:ascii="微软雅黑" w:hAnsi="微软雅黑" w:eastAsia="微软雅黑"/>
          <w:b/>
          <w:color w:val="1F497D"/>
          <w:sz w:val="32"/>
        </w:rPr>
        <w:t>四、Flow FL-100 vs Starstim 中国方案 一句话对比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2268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402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Flow FL-100（实际做法）</w:t>
            </w:r>
          </w:p>
        </w:tc>
        <w:tc>
          <w:tcPr>
            <w:tcW w:type="dxa" w:w="3402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Starstim 中国建议方案</w:t>
            </w:r>
          </w:p>
        </w:tc>
        <w:tc>
          <w:tcPr>
            <w:tcW w:type="dxa" w:w="3402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非临床研究项数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 项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 项（一一对应）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完全对齐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关键 RCT 中心数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 家（英美各 1）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 家（推荐三甲精神科）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中国 CDE 惯例更严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关键 RCT 样本量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174 例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150 例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中国方案已足够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盲态期长度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 周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 周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完全一致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开放标签期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 周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 周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完全一致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主要终点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HDRS-17 均分改变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HAMD-17 均分改变（等价）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术语本土化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统计方法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MMRM + FCS + Hochberg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同上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完全一致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执行模式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全远程家用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半远程（保留 4 次现场访视）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中国本土化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预计执行时长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14 月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15–18 月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略长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关键风险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设盲失败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设盲失败 + CDE 发补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预设 CGR 敏感性分析应对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预计总费用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未披露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400–600 万（主临床）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一次性投入</w:t>
            </w:r>
          </w:p>
        </w:tc>
      </w:tr>
    </w:tbl>
    <w:p>
      <w:pPr>
        <w:spacing w:before="400"/>
        <w:jc w:val="center"/>
      </w:pPr>
      <w:r>
        <w:rPr>
          <w:rFonts w:ascii="微软雅黑" w:hAnsi="微软雅黑" w:eastAsia="微软雅黑"/>
          <w:b w:val="0"/>
          <w:color w:val="595959"/>
          <w:sz w:val="22"/>
        </w:rPr>
        <w:t>—— 清单完 · 共 3 类研究 (5+2+9) + 16 项工作分解 ——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