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微软雅黑" w:hAnsi="微软雅黑" w:eastAsia="微软雅黑"/>
          <w:b/>
          <w:color w:val="1F497D"/>
          <w:sz w:val="40"/>
        </w:rPr>
        <w:t>FDA PMA P230024 (Flow FL-100)</w:t>
      </w:r>
    </w:p>
    <w:p>
      <w:pPr>
        <w:jc w:val="center"/>
      </w:pPr>
      <w:r>
        <w:rPr>
          <w:rFonts w:ascii="微软雅黑" w:hAnsi="微软雅黑" w:eastAsia="微软雅黑"/>
          <w:b/>
          <w:color w:val="1F497D"/>
          <w:sz w:val="36"/>
        </w:rPr>
        <w:t>全球首个 tDCS 家用治疗抑郁症</w:t>
      </w:r>
    </w:p>
    <w:p>
      <w:pPr>
        <w:jc w:val="center"/>
      </w:pPr>
      <w:r>
        <w:rPr>
          <w:rFonts w:ascii="微软雅黑" w:hAnsi="微软雅黑" w:eastAsia="微软雅黑"/>
          <w:b/>
          <w:color w:val="1F497D"/>
          <w:sz w:val="36"/>
        </w:rPr>
        <w:t>FDA 三类批准 · 全部研究项目逐项梳理</w:t>
      </w:r>
    </w:p>
    <w:p>
      <w:pPr>
        <w:spacing w:before="600"/>
        <w:jc w:val="center"/>
      </w:pPr>
      <w:r>
        <w:rPr>
          <w:rFonts w:ascii="微软雅黑" w:hAnsi="微软雅黑" w:eastAsia="微软雅黑"/>
          <w:b w:val="0"/>
          <w:color w:val="595959"/>
          <w:sz w:val="24"/>
        </w:rPr>
        <w:t>—— 用于 Neuroelectrics Starstim 中国 NMPA 临床方案设计的参照模板 ——</w:t>
      </w:r>
    </w:p>
    <w:p>
      <w:pPr>
        <w:spacing w:before="1600"/>
        <w:jc w:val="center"/>
      </w:pPr>
      <w:r>
        <w:rPr>
          <w:rFonts w:ascii="微软雅黑" w:hAnsi="微软雅黑" w:eastAsia="微软雅黑"/>
          <w:b w:val="0"/>
          <w:color w:val="595959"/>
          <w:sz w:val="22"/>
        </w:rPr>
        <w:t>原始文件：FDA Summary of Safety and Effectiveness Data (SSED)</w:t>
      </w:r>
    </w:p>
    <w:p>
      <w:pPr>
        <w:jc w:val="center"/>
      </w:pPr>
      <w:r>
        <w:rPr>
          <w:rFonts w:ascii="微软雅黑" w:hAnsi="微软雅黑" w:eastAsia="微软雅黑"/>
          <w:b w:val="0"/>
          <w:color w:val="595959"/>
          <w:sz w:val="22"/>
        </w:rPr>
        <w:t>FDA 批准日期：2025 年 12 月 8 日  |  Breakthrough Device 认定：2022 年 5 月 31 日</w:t>
      </w:r>
    </w:p>
    <w:p>
      <w:pPr>
        <w:spacing w:before="400"/>
        <w:jc w:val="center"/>
      </w:pPr>
      <w:r>
        <w:rPr>
          <w:rFonts w:ascii="微软雅黑" w:hAnsi="微软雅黑" w:eastAsia="微软雅黑"/>
          <w:b w:val="0"/>
          <w:color w:val="595959"/>
          <w:sz w:val="22"/>
        </w:rPr>
        <w:t>梳理时间：2026 年 7 月</w:t>
      </w:r>
    </w:p>
    <w:p>
      <w:r>
        <w:br w:type="page"/>
      </w:r>
    </w:p>
    <w:p>
      <w:pPr>
        <w:spacing w:before="240" w:after="120"/>
      </w:pPr>
      <w:r>
        <w:rPr>
          <w:rFonts w:ascii="微软雅黑" w:hAnsi="微软雅黑" w:eastAsia="微软雅黑"/>
          <w:b/>
          <w:color w:val="1F497D"/>
          <w:sz w:val="32"/>
        </w:rPr>
        <w:t>如何使用本参照模板</w:t>
      </w:r>
    </w:p>
    <w:p>
      <w:pPr>
        <w:spacing w:after="80" w:line="360" w:lineRule="auto"/>
        <w:ind w:firstLine="420"/>
      </w:pPr>
      <w:r>
        <w:rPr>
          <w:rFonts w:ascii="微软雅黑" w:hAnsi="微软雅黑" w:eastAsia="微软雅黑"/>
          <w:b w:val="0"/>
          <w:sz w:val="21"/>
        </w:rPr>
        <w:t>本文件基于 FDA 于 2025-12-08 批准 Flow FL-100（tDCS 家用抑郁治疗）时公开的《Summary of Safety and Effectiveness Data，SSED》（PMA 号 P230024），把审批过程中考察的**每一项研究内容**分类翻译、结构化，并逐项加上"【中国注册参考】"标签，说明该项在 Starstim 中国临床方案中应如何设计。</w:t>
      </w:r>
    </w:p>
    <w:p>
      <w:pPr>
        <w:spacing w:after="80" w:line="360" w:lineRule="auto"/>
        <w:ind w:firstLine="420"/>
      </w:pPr>
      <w:r>
        <w:rPr>
          <w:rFonts w:ascii="微软雅黑" w:hAnsi="微软雅黑" w:eastAsia="微软雅黑"/>
          <w:b w:val="0"/>
          <w:sz w:val="21"/>
        </w:rPr>
        <w:t>Flow FL-100 与 Starstim 高度可比——两者都是 tDCS 家用抑郁治疗设备，都走"FDA Breakthrough → 三类批准"路径，Flow 于 2019 年在欧盟上市、2025 年获 FDA PMA。这份 SSED 是全球 tDCS 治疗 MDD 的**唯一三类监管路径完整披露**。中国 NMPA 三类审评虽有本土化差异，但方案要素高度一致，可作为一比一的临床方案骨架直接借鉴。</w:t>
      </w:r>
    </w:p>
    <w:p>
      <w:pPr>
        <w:spacing w:after="80" w:line="360" w:lineRule="auto"/>
      </w:pPr>
      <w:r>
        <w:rPr>
          <w:rFonts w:ascii="微软雅黑" w:hAnsi="微软雅黑" w:eastAsia="微软雅黑"/>
          <w:b/>
          <w:sz w:val="21"/>
        </w:rPr>
        <w:t>本文件章节对应关系：</w:t>
      </w:r>
    </w:p>
    <w:p>
      <w:pPr>
        <w:pStyle w:val="ListBullet"/>
        <w:spacing w:after="40" w:line="360" w:lineRule="auto"/>
      </w:pPr>
      <w:r>
        <w:rPr>
          <w:rFonts w:ascii="微软雅黑" w:hAnsi="微软雅黑" w:eastAsia="微软雅黑"/>
          <w:b w:val="0"/>
          <w:sz w:val="21"/>
        </w:rPr>
        <w:t>第一章 产品与监管概况（对应 SSED §I-VIII）</w:t>
      </w:r>
    </w:p>
    <w:p>
      <w:pPr>
        <w:pStyle w:val="ListBullet"/>
        <w:spacing w:after="40" w:line="360" w:lineRule="auto"/>
      </w:pPr>
      <w:r>
        <w:rPr>
          <w:rFonts w:ascii="微软雅黑" w:hAnsi="微软雅黑" w:eastAsia="微软雅黑"/>
          <w:b w:val="0"/>
          <w:sz w:val="21"/>
        </w:rPr>
        <w:t>第二章 非临床研究 5 项（对应 SSED §X）</w:t>
      </w:r>
    </w:p>
    <w:p>
      <w:pPr>
        <w:pStyle w:val="ListBullet"/>
        <w:spacing w:after="40" w:line="360" w:lineRule="auto"/>
      </w:pPr>
      <w:r>
        <w:rPr>
          <w:rFonts w:ascii="微软雅黑" w:hAnsi="微软雅黑" w:eastAsia="微软雅黑"/>
          <w:b w:val="0"/>
          <w:sz w:val="21"/>
        </w:rPr>
        <w:t>第三章 关键临床试验 Empower 详解（对应 SSED §XI，最关键的一章）</w:t>
      </w:r>
    </w:p>
    <w:p>
      <w:pPr>
        <w:pStyle w:val="ListBullet"/>
        <w:spacing w:after="40" w:line="360" w:lineRule="auto"/>
      </w:pPr>
      <w:r>
        <w:rPr>
          <w:rFonts w:ascii="微软雅黑" w:hAnsi="微软雅黑" w:eastAsia="微软雅黑"/>
          <w:b w:val="0"/>
          <w:sz w:val="21"/>
        </w:rPr>
        <w:t>第四章 补充临床研究 PSYLECT（对应 SSED §XIII，可作为阴性结果的教训案例）</w:t>
      </w:r>
    </w:p>
    <w:p>
      <w:pPr>
        <w:pStyle w:val="ListBullet"/>
        <w:spacing w:after="40" w:line="360" w:lineRule="auto"/>
      </w:pPr>
      <w:r>
        <w:rPr>
          <w:rFonts w:ascii="微软雅黑" w:hAnsi="微软雅黑" w:eastAsia="微软雅黑"/>
          <w:b w:val="0"/>
          <w:sz w:val="21"/>
        </w:rPr>
        <w:t>第五章 FDA 益处/风险决策逻辑（对应 SSED §XV）</w:t>
      </w:r>
    </w:p>
    <w:p>
      <w:pPr>
        <w:pStyle w:val="ListBullet"/>
        <w:spacing w:after="40" w:line="360" w:lineRule="auto"/>
      </w:pPr>
      <w:r>
        <w:rPr>
          <w:rFonts w:ascii="微软雅黑" w:hAnsi="微软雅黑" w:eastAsia="微软雅黑"/>
          <w:b w:val="0"/>
          <w:sz w:val="21"/>
        </w:rPr>
        <w:t>第六章 Starstim 中国临床方案建议（本报告的原创综合）</w:t>
      </w:r>
    </w:p>
    <w:p>
      <w:r>
        <w:br w:type="page"/>
      </w:r>
    </w:p>
    <w:p>
      <w:pPr>
        <w:spacing w:before="240" w:after="120"/>
      </w:pPr>
      <w:r>
        <w:rPr>
          <w:rFonts w:ascii="微软雅黑" w:hAnsi="微软雅黑" w:eastAsia="微软雅黑"/>
          <w:b/>
          <w:color w:val="1F497D"/>
          <w:sz w:val="32"/>
        </w:rPr>
        <w:t>第一章 产品与监管概况</w:t>
      </w:r>
    </w:p>
    <w:p>
      <w:pPr>
        <w:spacing w:after="40"/>
        <w:ind w:left="280"/>
      </w:pPr>
      <w:r>
        <w:rPr>
          <w:rFonts w:ascii="微软雅黑" w:hAnsi="微软雅黑" w:eastAsia="微软雅黑"/>
          <w:b/>
          <w:color w:val="C00000"/>
          <w:sz w:val="19"/>
        </w:rPr>
        <w:t xml:space="preserve">[原文出处] </w:t>
      </w:r>
      <w:r>
        <w:rPr>
          <w:rFonts w:ascii="微软雅黑" w:hAnsi="微软雅黑" w:eastAsia="微软雅黑"/>
          <w:b w:val="0"/>
          <w:color w:val="595959"/>
          <w:sz w:val="19"/>
        </w:rPr>
        <w:t>FDA SSED §I–§VIII，PMA P230024 Flow FL-100</w:t>
      </w:r>
    </w:p>
    <w:p>
      <w:pPr>
        <w:spacing w:before="240" w:after="120"/>
      </w:pPr>
      <w:r>
        <w:rPr>
          <w:rFonts w:ascii="微软雅黑" w:hAnsi="微软雅黑" w:eastAsia="微软雅黑"/>
          <w:b/>
          <w:color w:val="365F91"/>
          <w:sz w:val="27"/>
        </w:rPr>
        <w:t>1.1 产品基本信息</w:t>
      </w:r>
    </w:p>
    <w:tbl>
      <w:tblPr>
        <w:tblStyle w:val="LightGrid-Accent1"/>
        <w:tblW w:type="auto" w:w="0"/>
        <w:jc w:val="center"/>
        <w:tblLook w:firstColumn="1" w:firstRow="1" w:lastColumn="0" w:lastRow="0" w:noHBand="0" w:noVBand="1" w:val="04A0"/>
      </w:tblPr>
      <w:tblGrid>
        <w:gridCol w:w="4703"/>
        <w:gridCol w:w="4703"/>
      </w:tblGrid>
      <w:tr>
        <w:tc>
          <w:tcPr>
            <w:tcW w:type="dxa" w:w="2268"/>
            <w:shd w:val="clear" w:color="auto" w:fill="1F497D"/>
            <w:vAlign w:val="center"/>
          </w:tcPr>
          <w:p>
            <w:pPr>
              <w:jc w:val="center"/>
            </w:pPr>
            <w:r/>
            <w:r>
              <w:rPr>
                <w:rFonts w:ascii="微软雅黑" w:hAnsi="微软雅黑" w:eastAsia="微软雅黑"/>
                <w:b/>
                <w:color w:val="FFFFFF"/>
                <w:sz w:val="20"/>
              </w:rPr>
              <w:t>项目</w:t>
            </w:r>
          </w:p>
        </w:tc>
        <w:tc>
          <w:tcPr>
            <w:tcW w:type="dxa" w:w="6803"/>
            <w:shd w:val="clear" w:color="auto" w:fill="1F497D"/>
            <w:vAlign w:val="center"/>
          </w:tcPr>
          <w:p>
            <w:pPr>
              <w:jc w:val="center"/>
            </w:pPr>
            <w:r/>
            <w:r>
              <w:rPr>
                <w:rFonts w:ascii="微软雅黑" w:hAnsi="微软雅黑" w:eastAsia="微软雅黑"/>
                <w:b/>
                <w:color w:val="FFFFFF"/>
                <w:sz w:val="20"/>
              </w:rPr>
              <w:t>内容</w:t>
            </w:r>
          </w:p>
        </w:tc>
      </w:tr>
      <w:tr>
        <w:tc>
          <w:tcPr>
            <w:tcW w:type="dxa" w:w="2268"/>
            <w:vAlign w:val="center"/>
          </w:tcPr>
          <w:p>
            <w:pPr>
              <w:jc w:val="left"/>
            </w:pPr>
            <w:r/>
            <w:r>
              <w:rPr>
                <w:rFonts w:ascii="微软雅黑" w:hAnsi="微软雅黑" w:eastAsia="微软雅黑"/>
                <w:b w:val="0"/>
                <w:sz w:val="19"/>
              </w:rPr>
              <w:t>通用名</w:t>
            </w:r>
          </w:p>
        </w:tc>
        <w:tc>
          <w:tcPr>
            <w:tcW w:type="dxa" w:w="6803"/>
            <w:vAlign w:val="center"/>
          </w:tcPr>
          <w:p>
            <w:pPr>
              <w:jc w:val="left"/>
            </w:pPr>
            <w:r/>
            <w:r>
              <w:rPr>
                <w:rFonts w:ascii="微软雅黑" w:hAnsi="微软雅黑" w:eastAsia="微软雅黑"/>
                <w:b w:val="0"/>
                <w:sz w:val="19"/>
              </w:rPr>
              <w:t>Cranial electrotherapy stimulator to treat depression（治疗抑郁症的经颅电刺激器）</w:t>
            </w:r>
          </w:p>
        </w:tc>
      </w:tr>
      <w:tr>
        <w:tc>
          <w:tcPr>
            <w:tcW w:type="dxa" w:w="2268"/>
            <w:vAlign w:val="center"/>
          </w:tcPr>
          <w:p>
            <w:pPr>
              <w:jc w:val="left"/>
            </w:pPr>
            <w:r/>
            <w:r>
              <w:rPr>
                <w:rFonts w:ascii="微软雅黑" w:hAnsi="微软雅黑" w:eastAsia="微软雅黑"/>
                <w:b w:val="0"/>
                <w:sz w:val="19"/>
              </w:rPr>
              <w:t>商品名</w:t>
            </w:r>
          </w:p>
        </w:tc>
        <w:tc>
          <w:tcPr>
            <w:tcW w:type="dxa" w:w="6803"/>
            <w:vAlign w:val="center"/>
          </w:tcPr>
          <w:p>
            <w:pPr>
              <w:jc w:val="left"/>
            </w:pPr>
            <w:r/>
            <w:r>
              <w:rPr>
                <w:rFonts w:ascii="微软雅黑" w:hAnsi="微软雅黑" w:eastAsia="微软雅黑"/>
                <w:b w:val="0"/>
                <w:sz w:val="19"/>
              </w:rPr>
              <w:t>Flow FL-100</w:t>
            </w:r>
          </w:p>
        </w:tc>
      </w:tr>
      <w:tr>
        <w:tc>
          <w:tcPr>
            <w:tcW w:type="dxa" w:w="2268"/>
            <w:vAlign w:val="center"/>
          </w:tcPr>
          <w:p>
            <w:pPr>
              <w:jc w:val="left"/>
            </w:pPr>
            <w:r/>
            <w:r>
              <w:rPr>
                <w:rFonts w:ascii="微软雅黑" w:hAnsi="微软雅黑" w:eastAsia="微软雅黑"/>
                <w:b w:val="0"/>
                <w:sz w:val="19"/>
              </w:rPr>
              <w:t>配件</w:t>
            </w:r>
          </w:p>
        </w:tc>
        <w:tc>
          <w:tcPr>
            <w:tcW w:type="dxa" w:w="6803"/>
            <w:vAlign w:val="center"/>
          </w:tcPr>
          <w:p>
            <w:pPr>
              <w:jc w:val="left"/>
            </w:pPr>
            <w:r/>
            <w:r>
              <w:rPr>
                <w:rFonts w:ascii="微软雅黑" w:hAnsi="微软雅黑" w:eastAsia="微软雅黑"/>
                <w:b w:val="0"/>
                <w:sz w:val="19"/>
              </w:rPr>
              <w:t>Flow Clinic Patient Platform（FL-CPP）、Headset Pads（FL-PADS，一次性电极片）</w:t>
            </w:r>
          </w:p>
        </w:tc>
      </w:tr>
      <w:tr>
        <w:tc>
          <w:tcPr>
            <w:tcW w:type="dxa" w:w="2268"/>
            <w:vAlign w:val="center"/>
          </w:tcPr>
          <w:p>
            <w:pPr>
              <w:jc w:val="left"/>
            </w:pPr>
            <w:r/>
            <w:r>
              <w:rPr>
                <w:rFonts w:ascii="微软雅黑" w:hAnsi="微软雅黑" w:eastAsia="微软雅黑"/>
                <w:b w:val="0"/>
                <w:sz w:val="19"/>
              </w:rPr>
              <w:t>产品分类代码</w:t>
            </w:r>
          </w:p>
        </w:tc>
        <w:tc>
          <w:tcPr>
            <w:tcW w:type="dxa" w:w="6803"/>
            <w:vAlign w:val="center"/>
          </w:tcPr>
          <w:p>
            <w:pPr>
              <w:jc w:val="left"/>
            </w:pPr>
            <w:r/>
            <w:r>
              <w:rPr>
                <w:rFonts w:ascii="微软雅黑" w:hAnsi="微软雅黑" w:eastAsia="微软雅黑"/>
                <w:b w:val="0"/>
                <w:sz w:val="19"/>
              </w:rPr>
              <w:t>JXK（FDA Product Code）</w:t>
            </w:r>
          </w:p>
        </w:tc>
      </w:tr>
      <w:tr>
        <w:tc>
          <w:tcPr>
            <w:tcW w:type="dxa" w:w="2268"/>
            <w:vAlign w:val="center"/>
          </w:tcPr>
          <w:p>
            <w:pPr>
              <w:jc w:val="left"/>
            </w:pPr>
            <w:r/>
            <w:r>
              <w:rPr>
                <w:rFonts w:ascii="微软雅黑" w:hAnsi="微软雅黑" w:eastAsia="微软雅黑"/>
                <w:b w:val="0"/>
                <w:sz w:val="19"/>
              </w:rPr>
              <w:t>申请人</w:t>
            </w:r>
          </w:p>
        </w:tc>
        <w:tc>
          <w:tcPr>
            <w:tcW w:type="dxa" w:w="6803"/>
            <w:vAlign w:val="center"/>
          </w:tcPr>
          <w:p>
            <w:pPr>
              <w:jc w:val="left"/>
            </w:pPr>
            <w:r/>
            <w:r>
              <w:rPr>
                <w:rFonts w:ascii="微软雅黑" w:hAnsi="微软雅黑" w:eastAsia="微软雅黑"/>
                <w:b w:val="0"/>
                <w:sz w:val="19"/>
              </w:rPr>
              <w:t>Flow Neuroscience AB（瑞典马尔默）</w:t>
            </w:r>
          </w:p>
        </w:tc>
      </w:tr>
      <w:tr>
        <w:tc>
          <w:tcPr>
            <w:tcW w:type="dxa" w:w="2268"/>
            <w:vAlign w:val="center"/>
          </w:tcPr>
          <w:p>
            <w:pPr>
              <w:jc w:val="left"/>
            </w:pPr>
            <w:r/>
            <w:r>
              <w:rPr>
                <w:rFonts w:ascii="微软雅黑" w:hAnsi="微软雅黑" w:eastAsia="微软雅黑"/>
                <w:b w:val="0"/>
                <w:sz w:val="19"/>
              </w:rPr>
              <w:t>PMA 编号</w:t>
            </w:r>
          </w:p>
        </w:tc>
        <w:tc>
          <w:tcPr>
            <w:tcW w:type="dxa" w:w="6803"/>
            <w:vAlign w:val="center"/>
          </w:tcPr>
          <w:p>
            <w:pPr>
              <w:jc w:val="left"/>
            </w:pPr>
            <w:r/>
            <w:r>
              <w:rPr>
                <w:rFonts w:ascii="微软雅黑" w:hAnsi="微软雅黑" w:eastAsia="微软雅黑"/>
                <w:b w:val="0"/>
                <w:sz w:val="19"/>
              </w:rPr>
              <w:t>P230024</w:t>
            </w:r>
          </w:p>
        </w:tc>
      </w:tr>
      <w:tr>
        <w:tc>
          <w:tcPr>
            <w:tcW w:type="dxa" w:w="2268"/>
            <w:vAlign w:val="center"/>
          </w:tcPr>
          <w:p>
            <w:pPr>
              <w:jc w:val="left"/>
            </w:pPr>
            <w:r/>
            <w:r>
              <w:rPr>
                <w:rFonts w:ascii="微软雅黑" w:hAnsi="微软雅黑" w:eastAsia="微软雅黑"/>
                <w:b w:val="0"/>
                <w:sz w:val="19"/>
              </w:rPr>
              <w:t>FDA 批准日期</w:t>
            </w:r>
          </w:p>
        </w:tc>
        <w:tc>
          <w:tcPr>
            <w:tcW w:type="dxa" w:w="6803"/>
            <w:vAlign w:val="center"/>
          </w:tcPr>
          <w:p>
            <w:pPr>
              <w:jc w:val="left"/>
            </w:pPr>
            <w:r/>
            <w:r>
              <w:rPr>
                <w:rFonts w:ascii="微软雅黑" w:hAnsi="微软雅黑" w:eastAsia="微软雅黑"/>
                <w:b w:val="0"/>
                <w:sz w:val="19"/>
              </w:rPr>
              <w:t>2025 年 12 月 8 日</w:t>
            </w:r>
          </w:p>
        </w:tc>
      </w:tr>
      <w:tr>
        <w:tc>
          <w:tcPr>
            <w:tcW w:type="dxa" w:w="2268"/>
            <w:vAlign w:val="center"/>
          </w:tcPr>
          <w:p>
            <w:pPr>
              <w:jc w:val="left"/>
            </w:pPr>
            <w:r/>
            <w:r>
              <w:rPr>
                <w:rFonts w:ascii="微软雅黑" w:hAnsi="微软雅黑" w:eastAsia="微软雅黑"/>
                <w:b w:val="0"/>
                <w:sz w:val="19"/>
              </w:rPr>
              <w:t>Breakthrough Device 认定</w:t>
            </w:r>
          </w:p>
        </w:tc>
        <w:tc>
          <w:tcPr>
            <w:tcW w:type="dxa" w:w="6803"/>
            <w:vAlign w:val="center"/>
          </w:tcPr>
          <w:p>
            <w:pPr>
              <w:jc w:val="left"/>
            </w:pPr>
            <w:r/>
            <w:r>
              <w:rPr>
                <w:rFonts w:ascii="微软雅黑" w:hAnsi="微软雅黑" w:eastAsia="微软雅黑"/>
                <w:b w:val="0"/>
                <w:sz w:val="19"/>
              </w:rPr>
              <w:t>2022 年 5 月 31 日</w:t>
            </w:r>
          </w:p>
        </w:tc>
      </w:tr>
      <w:tr>
        <w:tc>
          <w:tcPr>
            <w:tcW w:type="dxa" w:w="2268"/>
            <w:vAlign w:val="center"/>
          </w:tcPr>
          <w:p>
            <w:pPr>
              <w:jc w:val="left"/>
            </w:pPr>
            <w:r/>
            <w:r>
              <w:rPr>
                <w:rFonts w:ascii="微软雅黑" w:hAnsi="微软雅黑" w:eastAsia="微软雅黑"/>
                <w:b w:val="0"/>
                <w:sz w:val="19"/>
              </w:rPr>
              <w:t>已上市地域</w:t>
            </w:r>
          </w:p>
        </w:tc>
        <w:tc>
          <w:tcPr>
            <w:tcW w:type="dxa" w:w="6803"/>
            <w:vAlign w:val="center"/>
          </w:tcPr>
          <w:p>
            <w:pPr>
              <w:jc w:val="left"/>
            </w:pPr>
            <w:r/>
            <w:r>
              <w:rPr>
                <w:rFonts w:ascii="微软雅黑" w:hAnsi="微软雅黑" w:eastAsia="微软雅黑"/>
                <w:b w:val="0"/>
                <w:sz w:val="19"/>
              </w:rPr>
              <w:t>欧盟/英国 2019、巴西 2020、澳大利亚 2025</w:t>
            </w:r>
          </w:p>
        </w:tc>
      </w:tr>
      <w:tr>
        <w:tc>
          <w:tcPr>
            <w:tcW w:type="dxa" w:w="2268"/>
            <w:vAlign w:val="center"/>
          </w:tcPr>
          <w:p>
            <w:pPr>
              <w:jc w:val="left"/>
            </w:pPr>
            <w:r/>
            <w:r>
              <w:rPr>
                <w:rFonts w:ascii="微软雅黑" w:hAnsi="微软雅黑" w:eastAsia="微软雅黑"/>
                <w:b w:val="0"/>
                <w:sz w:val="19"/>
              </w:rPr>
              <w:t>是否曾撤市</w:t>
            </w:r>
          </w:p>
        </w:tc>
        <w:tc>
          <w:tcPr>
            <w:tcW w:type="dxa" w:w="6803"/>
            <w:vAlign w:val="center"/>
          </w:tcPr>
          <w:p>
            <w:pPr>
              <w:jc w:val="left"/>
            </w:pPr>
            <w:r/>
            <w:r>
              <w:rPr>
                <w:rFonts w:ascii="微软雅黑" w:hAnsi="微软雅黑" w:eastAsia="微软雅黑"/>
                <w:b w:val="0"/>
                <w:sz w:val="19"/>
              </w:rPr>
              <w:t>否（无安全或有效性相关的撤市记录）</w:t>
            </w:r>
          </w:p>
        </w:tc>
      </w:tr>
    </w:tbl>
    <w:p>
      <w:pPr>
        <w:spacing w:before="240" w:after="120"/>
      </w:pPr>
      <w:r>
        <w:rPr>
          <w:rFonts w:ascii="微软雅黑" w:hAnsi="微软雅黑" w:eastAsia="微软雅黑"/>
          <w:b/>
          <w:color w:val="365F91"/>
          <w:sz w:val="27"/>
        </w:rPr>
        <w:t>1.2 预期用途（Indications for Use）</w:t>
      </w:r>
    </w:p>
    <w:p>
      <w:pPr>
        <w:spacing w:after="80" w:line="360" w:lineRule="auto"/>
        <w:ind w:firstLine="420"/>
      </w:pPr>
      <w:r>
        <w:rPr>
          <w:rFonts w:ascii="微软雅黑" w:hAnsi="微软雅黑" w:eastAsia="微软雅黑"/>
          <w:b w:val="0"/>
          <w:color w:val="595959"/>
          <w:sz w:val="21"/>
        </w:rPr>
        <w:t>"Flow FL-100 is intended for the treatment of moderate to severe major depressive disorder (MDD) in the current episode, either as monotherapy or as an adjunctive treatment, in patients 18 years and older who are not considered treatment refractory to medication."</w:t>
      </w:r>
    </w:p>
    <w:p>
      <w:pPr>
        <w:spacing w:after="80" w:line="360" w:lineRule="auto"/>
        <w:ind w:firstLine="420"/>
      </w:pPr>
      <w:r>
        <w:rPr>
          <w:rFonts w:ascii="微软雅黑" w:hAnsi="微软雅黑" w:eastAsia="微软雅黑"/>
          <w:b/>
          <w:sz w:val="21"/>
        </w:rPr>
        <w:t>中文：适用于 18 岁及以上、当前处于中度至重度重度抑郁症（MDD）发作期、且不属于"药物治疗抵抗性"的患者，可作为单药治疗或辅助治疗使用。</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中国方案建议使用相同或更保守的适应症声称："成人（18–65 岁）中度至重度重度抑郁症发作期的辅助治疗"，避开"治疗抵抗性抑郁 TRD"这一 CDE 审评难点。</w:t>
      </w:r>
    </w:p>
    <w:p>
      <w:pPr>
        <w:spacing w:before="240" w:after="120"/>
      </w:pPr>
      <w:r>
        <w:rPr>
          <w:rFonts w:ascii="微软雅黑" w:hAnsi="微软雅黑" w:eastAsia="微软雅黑"/>
          <w:b/>
          <w:color w:val="365F91"/>
          <w:sz w:val="27"/>
        </w:rPr>
        <w:t>1.3 局限性（Limitations）</w:t>
      </w:r>
    </w:p>
    <w:p>
      <w:pPr>
        <w:spacing w:after="80" w:line="360" w:lineRule="auto"/>
        <w:ind w:firstLine="420"/>
      </w:pPr>
      <w:r>
        <w:rPr>
          <w:rFonts w:ascii="微软雅黑" w:hAnsi="微软雅黑" w:eastAsia="微软雅黑"/>
          <w:b w:val="0"/>
          <w:sz w:val="21"/>
        </w:rPr>
        <w:t>FDA 明确列出 Flow FL-100 的评估存在"中等程度的获益不确定性"，主要因素：</w:t>
      </w:r>
    </w:p>
    <w:p>
      <w:pPr>
        <w:pStyle w:val="ListBullet"/>
        <w:spacing w:after="40" w:line="360" w:lineRule="auto"/>
      </w:pPr>
      <w:r>
        <w:rPr>
          <w:rFonts w:ascii="微软雅黑" w:hAnsi="微软雅黑" w:eastAsia="微软雅黑"/>
          <w:b w:val="0"/>
          <w:sz w:val="21"/>
        </w:rPr>
        <w:t>设盲失败（unblinding）：Active 组 77.6% 猜对分组、Sham 组 40.7% 猜对（p=0.012）——设盲不平衡</w:t>
      </w:r>
    </w:p>
    <w:p>
      <w:pPr>
        <w:pStyle w:val="ListBullet"/>
        <w:spacing w:after="40" w:line="360" w:lineRule="auto"/>
      </w:pPr>
      <w:r>
        <w:rPr>
          <w:rFonts w:ascii="微软雅黑" w:hAnsi="微软雅黑" w:eastAsia="微软雅黑"/>
          <w:b w:val="0"/>
          <w:sz w:val="21"/>
        </w:rPr>
        <w:t>未预设 HDRS-17 分数的"临床显著变化阈值"</w:t>
      </w:r>
    </w:p>
    <w:p>
      <w:pPr>
        <w:pStyle w:val="ListBullet"/>
        <w:spacing w:after="40" w:line="360" w:lineRule="auto"/>
      </w:pPr>
      <w:r>
        <w:rPr>
          <w:rFonts w:ascii="微软雅黑" w:hAnsi="微软雅黑" w:eastAsia="微软雅黑"/>
          <w:b w:val="0"/>
          <w:sz w:val="21"/>
        </w:rPr>
        <w:t>文献中 tDCS 治疗抑郁的结果存在矛盾</w:t>
      </w:r>
    </w:p>
    <w:p>
      <w:pPr>
        <w:spacing w:before="240" w:after="120"/>
      </w:pPr>
      <w:r>
        <w:rPr>
          <w:rFonts w:ascii="微软雅黑" w:hAnsi="微软雅黑" w:eastAsia="微软雅黑"/>
          <w:b/>
          <w:color w:val="365F91"/>
          <w:sz w:val="27"/>
        </w:rPr>
        <w:t>1.4 禁忌症</w:t>
      </w:r>
    </w:p>
    <w:p>
      <w:pPr>
        <w:pStyle w:val="ListBullet"/>
        <w:spacing w:after="40" w:line="360" w:lineRule="auto"/>
      </w:pPr>
      <w:r>
        <w:rPr>
          <w:rFonts w:ascii="微软雅黑" w:hAnsi="微软雅黑" w:eastAsia="微软雅黑"/>
          <w:b w:val="0"/>
          <w:sz w:val="21"/>
        </w:rPr>
        <w:t>电极部位开放性伤口、破损或受损皮肤</w:t>
      </w:r>
    </w:p>
    <w:p>
      <w:pPr>
        <w:pStyle w:val="ListBullet"/>
        <w:spacing w:after="40" w:line="360" w:lineRule="auto"/>
      </w:pPr>
      <w:r>
        <w:rPr>
          <w:rFonts w:ascii="微软雅黑" w:hAnsi="微软雅黑" w:eastAsia="微软雅黑"/>
          <w:b w:val="0"/>
          <w:sz w:val="21"/>
        </w:rPr>
        <w:t>电极部位有金属颅骨重建物</w:t>
      </w:r>
    </w:p>
    <w:p>
      <w:pPr>
        <w:spacing w:before="240" w:after="120"/>
      </w:pPr>
      <w:r>
        <w:rPr>
          <w:rFonts w:ascii="微软雅黑" w:hAnsi="微软雅黑" w:eastAsia="微软雅黑"/>
          <w:b/>
          <w:color w:val="365F91"/>
          <w:sz w:val="27"/>
        </w:rPr>
        <w:t>1.5 装置描述</w:t>
      </w:r>
    </w:p>
    <w:tbl>
      <w:tblPr>
        <w:tblStyle w:val="LightGrid-Accent1"/>
        <w:tblW w:type="auto" w:w="0"/>
        <w:jc w:val="center"/>
        <w:tblLook w:firstColumn="1" w:firstRow="1" w:lastColumn="0" w:lastRow="0" w:noHBand="0" w:noVBand="1" w:val="04A0"/>
      </w:tblPr>
      <w:tblGrid>
        <w:gridCol w:w="4703"/>
        <w:gridCol w:w="4703"/>
      </w:tblGrid>
      <w:tr>
        <w:tc>
          <w:tcPr>
            <w:tcW w:type="dxa" w:w="2268"/>
            <w:shd w:val="clear" w:color="auto" w:fill="1F497D"/>
            <w:vAlign w:val="center"/>
          </w:tcPr>
          <w:p>
            <w:pPr>
              <w:jc w:val="center"/>
            </w:pPr>
            <w:r/>
            <w:r>
              <w:rPr>
                <w:rFonts w:ascii="微软雅黑" w:hAnsi="微软雅黑" w:eastAsia="微软雅黑"/>
                <w:b/>
                <w:color w:val="FFFFFF"/>
                <w:sz w:val="20"/>
              </w:rPr>
              <w:t>要素</w:t>
            </w:r>
          </w:p>
        </w:tc>
        <w:tc>
          <w:tcPr>
            <w:tcW w:type="dxa" w:w="6803"/>
            <w:shd w:val="clear" w:color="auto" w:fill="1F497D"/>
            <w:vAlign w:val="center"/>
          </w:tcPr>
          <w:p>
            <w:pPr>
              <w:jc w:val="center"/>
            </w:pPr>
            <w:r/>
            <w:r>
              <w:rPr>
                <w:rFonts w:ascii="微软雅黑" w:hAnsi="微软雅黑" w:eastAsia="微软雅黑"/>
                <w:b/>
                <w:color w:val="FFFFFF"/>
                <w:sz w:val="20"/>
              </w:rPr>
              <w:t>规格</w:t>
            </w:r>
          </w:p>
        </w:tc>
      </w:tr>
      <w:tr>
        <w:tc>
          <w:tcPr>
            <w:tcW w:type="dxa" w:w="2268"/>
            <w:vAlign w:val="center"/>
          </w:tcPr>
          <w:p>
            <w:pPr>
              <w:jc w:val="left"/>
            </w:pPr>
            <w:r/>
            <w:r>
              <w:rPr>
                <w:rFonts w:ascii="微软雅黑" w:hAnsi="微软雅黑" w:eastAsia="微软雅黑"/>
                <w:b w:val="0"/>
                <w:sz w:val="19"/>
              </w:rPr>
              <w:t>刺激参数</w:t>
            </w:r>
          </w:p>
        </w:tc>
        <w:tc>
          <w:tcPr>
            <w:tcW w:type="dxa" w:w="6803"/>
            <w:vAlign w:val="center"/>
          </w:tcPr>
          <w:p>
            <w:pPr>
              <w:jc w:val="left"/>
            </w:pPr>
            <w:r/>
            <w:r>
              <w:rPr>
                <w:rFonts w:ascii="微软雅黑" w:hAnsi="微软雅黑" w:eastAsia="微软雅黑"/>
                <w:b w:val="0"/>
                <w:sz w:val="19"/>
              </w:rPr>
              <w:t>2.0 mA ± 0.05 mA 直流电（tDCS）</w:t>
            </w:r>
          </w:p>
        </w:tc>
      </w:tr>
      <w:tr>
        <w:tc>
          <w:tcPr>
            <w:tcW w:type="dxa" w:w="2268"/>
            <w:vAlign w:val="center"/>
          </w:tcPr>
          <w:p>
            <w:pPr>
              <w:jc w:val="left"/>
            </w:pPr>
            <w:r/>
            <w:r>
              <w:rPr>
                <w:rFonts w:ascii="微软雅黑" w:hAnsi="微软雅黑" w:eastAsia="微软雅黑"/>
                <w:b w:val="0"/>
                <w:sz w:val="19"/>
              </w:rPr>
              <w:t>刺激时长</w:t>
            </w:r>
          </w:p>
        </w:tc>
        <w:tc>
          <w:tcPr>
            <w:tcW w:type="dxa" w:w="6803"/>
            <w:vAlign w:val="center"/>
          </w:tcPr>
          <w:p>
            <w:pPr>
              <w:jc w:val="left"/>
            </w:pPr>
            <w:r/>
            <w:r>
              <w:rPr>
                <w:rFonts w:ascii="微软雅黑" w:hAnsi="微软雅黑" w:eastAsia="微软雅黑"/>
                <w:b w:val="0"/>
                <w:sz w:val="19"/>
              </w:rPr>
              <w:t>每次 30 分钟</w:t>
            </w:r>
          </w:p>
        </w:tc>
      </w:tr>
      <w:tr>
        <w:tc>
          <w:tcPr>
            <w:tcW w:type="dxa" w:w="2268"/>
            <w:vAlign w:val="center"/>
          </w:tcPr>
          <w:p>
            <w:pPr>
              <w:jc w:val="left"/>
            </w:pPr>
            <w:r/>
            <w:r>
              <w:rPr>
                <w:rFonts w:ascii="微软雅黑" w:hAnsi="微软雅黑" w:eastAsia="微软雅黑"/>
                <w:b w:val="0"/>
                <w:sz w:val="19"/>
              </w:rPr>
              <w:t>疗程安排</w:t>
            </w:r>
          </w:p>
        </w:tc>
        <w:tc>
          <w:tcPr>
            <w:tcW w:type="dxa" w:w="6803"/>
            <w:vAlign w:val="center"/>
          </w:tcPr>
          <w:p>
            <w:pPr>
              <w:jc w:val="left"/>
            </w:pPr>
            <w:r/>
            <w:r>
              <w:rPr>
                <w:rFonts w:ascii="微软雅黑" w:hAnsi="微软雅黑" w:eastAsia="微软雅黑"/>
                <w:b w:val="0"/>
                <w:sz w:val="19"/>
              </w:rPr>
              <w:t>前 3 周每周 5 次 + 后 7 周每周 3 次；共 10 周 36 次</w:t>
            </w:r>
          </w:p>
        </w:tc>
      </w:tr>
      <w:tr>
        <w:tc>
          <w:tcPr>
            <w:tcW w:type="dxa" w:w="2268"/>
            <w:vAlign w:val="center"/>
          </w:tcPr>
          <w:p>
            <w:pPr>
              <w:jc w:val="left"/>
            </w:pPr>
            <w:r/>
            <w:r>
              <w:rPr>
                <w:rFonts w:ascii="微软雅黑" w:hAnsi="微软雅黑" w:eastAsia="微软雅黑"/>
                <w:b w:val="0"/>
                <w:sz w:val="19"/>
              </w:rPr>
              <w:t>组件 1 头戴装置</w:t>
            </w:r>
          </w:p>
        </w:tc>
        <w:tc>
          <w:tcPr>
            <w:tcW w:type="dxa" w:w="6803"/>
            <w:vAlign w:val="center"/>
          </w:tcPr>
          <w:p>
            <w:pPr>
              <w:jc w:val="left"/>
            </w:pPr>
            <w:r/>
            <w:r>
              <w:rPr>
                <w:rFonts w:ascii="微软雅黑" w:hAnsi="微软雅黑" w:eastAsia="微软雅黑"/>
                <w:b w:val="0"/>
                <w:sz w:val="19"/>
              </w:rPr>
              <w:t>Bluetooth（BLE）无线连接；250 mAh 锂聚合物可充电电池（10-15 次/充）；Micro-USB 充电</w:t>
            </w:r>
          </w:p>
        </w:tc>
      </w:tr>
      <w:tr>
        <w:tc>
          <w:tcPr>
            <w:tcW w:type="dxa" w:w="2268"/>
            <w:vAlign w:val="center"/>
          </w:tcPr>
          <w:p>
            <w:pPr>
              <w:jc w:val="left"/>
            </w:pPr>
            <w:r/>
            <w:r>
              <w:rPr>
                <w:rFonts w:ascii="微软雅黑" w:hAnsi="微软雅黑" w:eastAsia="微软雅黑"/>
                <w:b w:val="0"/>
                <w:sz w:val="19"/>
              </w:rPr>
              <w:t>组件 2 电极片</w:t>
            </w:r>
          </w:p>
        </w:tc>
        <w:tc>
          <w:tcPr>
            <w:tcW w:type="dxa" w:w="6803"/>
            <w:vAlign w:val="center"/>
          </w:tcPr>
          <w:p>
            <w:pPr>
              <w:jc w:val="left"/>
            </w:pPr>
            <w:r/>
            <w:r>
              <w:rPr>
                <w:rFonts w:ascii="微软雅黑" w:hAnsi="微软雅黑" w:eastAsia="微软雅黑"/>
                <w:b w:val="0"/>
                <w:sz w:val="19"/>
              </w:rPr>
              <w:t>一次性使用；5 cm 直径圆形；纤维素海绵浸润生理盐水；医用硅胶固定环；铝箔袋成对包装</w:t>
            </w:r>
          </w:p>
        </w:tc>
      </w:tr>
      <w:tr>
        <w:tc>
          <w:tcPr>
            <w:tcW w:type="dxa" w:w="2268"/>
            <w:vAlign w:val="center"/>
          </w:tcPr>
          <w:p>
            <w:pPr>
              <w:jc w:val="left"/>
            </w:pPr>
            <w:r/>
            <w:r>
              <w:rPr>
                <w:rFonts w:ascii="微软雅黑" w:hAnsi="微软雅黑" w:eastAsia="微软雅黑"/>
                <w:b w:val="0"/>
                <w:sz w:val="19"/>
              </w:rPr>
              <w:t>组件 3 手机 App</w:t>
            </w:r>
          </w:p>
        </w:tc>
        <w:tc>
          <w:tcPr>
            <w:tcW w:type="dxa" w:w="6803"/>
            <w:vAlign w:val="center"/>
          </w:tcPr>
          <w:p>
            <w:pPr>
              <w:jc w:val="left"/>
            </w:pPr>
            <w:r/>
            <w:r>
              <w:rPr>
                <w:rFonts w:ascii="微软雅黑" w:hAnsi="微软雅黑" w:eastAsia="微软雅黑"/>
                <w:b w:val="0"/>
                <w:sz w:val="19"/>
              </w:rPr>
              <w:t>引导使用、控制刺激、监测使用记录、发提醒；追踪设备 UDI；每周 MADRS-s 自评</w:t>
            </w:r>
          </w:p>
        </w:tc>
      </w:tr>
      <w:tr>
        <w:tc>
          <w:tcPr>
            <w:tcW w:type="dxa" w:w="2268"/>
            <w:vAlign w:val="center"/>
          </w:tcPr>
          <w:p>
            <w:pPr>
              <w:jc w:val="left"/>
            </w:pPr>
            <w:r/>
            <w:r>
              <w:rPr>
                <w:rFonts w:ascii="微软雅黑" w:hAnsi="微软雅黑" w:eastAsia="微软雅黑"/>
                <w:b w:val="0"/>
                <w:sz w:val="19"/>
              </w:rPr>
              <w:t>组件 4 主服务器</w:t>
            </w:r>
          </w:p>
        </w:tc>
        <w:tc>
          <w:tcPr>
            <w:tcW w:type="dxa" w:w="6803"/>
            <w:vAlign w:val="center"/>
          </w:tcPr>
          <w:p>
            <w:pPr>
              <w:jc w:val="left"/>
            </w:pPr>
            <w:r/>
            <w:r>
              <w:rPr>
                <w:rFonts w:ascii="微软雅黑" w:hAnsi="微软雅黑" w:eastAsia="微软雅黑"/>
                <w:b w:val="0"/>
                <w:sz w:val="19"/>
              </w:rPr>
              <w:t>数据存储 + 处理逻辑后端</w:t>
            </w:r>
          </w:p>
        </w:tc>
      </w:tr>
      <w:tr>
        <w:tc>
          <w:tcPr>
            <w:tcW w:type="dxa" w:w="2268"/>
            <w:vAlign w:val="center"/>
          </w:tcPr>
          <w:p>
            <w:pPr>
              <w:jc w:val="left"/>
            </w:pPr>
            <w:r/>
            <w:r>
              <w:rPr>
                <w:rFonts w:ascii="微软雅黑" w:hAnsi="微软雅黑" w:eastAsia="微软雅黑"/>
                <w:b w:val="0"/>
                <w:sz w:val="19"/>
              </w:rPr>
              <w:t>组件 5 CPP 医生平台</w:t>
            </w:r>
          </w:p>
        </w:tc>
        <w:tc>
          <w:tcPr>
            <w:tcW w:type="dxa" w:w="6803"/>
            <w:vAlign w:val="center"/>
          </w:tcPr>
          <w:p>
            <w:pPr>
              <w:jc w:val="left"/>
            </w:pPr>
            <w:r/>
            <w:r>
              <w:rPr>
                <w:rFonts w:ascii="微软雅黑" w:hAnsi="微软雅黑" w:eastAsia="微软雅黑"/>
                <w:b w:val="0"/>
                <w:sz w:val="19"/>
              </w:rPr>
              <w:t>临床医生 web 端监测患者使用与设置刺激参数</w:t>
            </w:r>
          </w:p>
        </w:tc>
      </w:tr>
      <w:tr>
        <w:tc>
          <w:tcPr>
            <w:tcW w:type="dxa" w:w="2268"/>
            <w:vAlign w:val="center"/>
          </w:tcPr>
          <w:p>
            <w:pPr>
              <w:jc w:val="left"/>
            </w:pPr>
            <w:r/>
            <w:r>
              <w:rPr>
                <w:rFonts w:ascii="微软雅黑" w:hAnsi="微软雅黑" w:eastAsia="微软雅黑"/>
                <w:b w:val="0"/>
                <w:sz w:val="19"/>
              </w:rPr>
              <w:t>使用场景</w:t>
            </w:r>
          </w:p>
        </w:tc>
        <w:tc>
          <w:tcPr>
            <w:tcW w:type="dxa" w:w="6803"/>
            <w:vAlign w:val="center"/>
          </w:tcPr>
          <w:p>
            <w:pPr>
              <w:jc w:val="left"/>
            </w:pPr>
            <w:r/>
            <w:r>
              <w:rPr>
                <w:rFonts w:ascii="微软雅黑" w:hAnsi="微软雅黑" w:eastAsia="微软雅黑"/>
                <w:b w:val="0"/>
                <w:sz w:val="19"/>
              </w:rPr>
              <w:t>家庭（家用）</w:t>
            </w:r>
          </w:p>
        </w:tc>
      </w:tr>
    </w:tbl>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硬件配置更复杂（多通道 tDCS + 同步 EEG），但基础刺激参数（2 mA、30 min）与 Flow 一致，中国注册技术要求可对标 GB 9706.1 + YY 9706.210 神经肌肉刺激器专用要求。</w:t>
      </w:r>
    </w:p>
    <w:p>
      <w:pPr>
        <w:spacing w:before="240" w:after="120"/>
      </w:pPr>
      <w:r>
        <w:rPr>
          <w:rFonts w:ascii="微软雅黑" w:hAnsi="微软雅黑" w:eastAsia="微软雅黑"/>
          <w:b/>
          <w:color w:val="365F91"/>
          <w:sz w:val="27"/>
        </w:rPr>
        <w:t>1.6 替代治疗方案（Alternative Practices）</w:t>
      </w:r>
    </w:p>
    <w:p>
      <w:pPr>
        <w:spacing w:after="80" w:line="360" w:lineRule="auto"/>
        <w:ind w:firstLine="420"/>
      </w:pPr>
      <w:r>
        <w:rPr>
          <w:rFonts w:ascii="微软雅黑" w:hAnsi="微软雅黑" w:eastAsia="微软雅黑"/>
          <w:b w:val="0"/>
          <w:sz w:val="21"/>
        </w:rPr>
        <w:t>FDA 审评明确列出的抑郁症替代治疗（这些是审评时被拿来做"临床获益 vs 风险"横向对比的对手）：</w:t>
      </w:r>
    </w:p>
    <w:p>
      <w:pPr>
        <w:pStyle w:val="ListBullet"/>
        <w:spacing w:after="40" w:line="360" w:lineRule="auto"/>
      </w:pPr>
      <w:r>
        <w:rPr>
          <w:rFonts w:ascii="微软雅黑" w:hAnsi="微软雅黑" w:eastAsia="微软雅黑"/>
          <w:b w:val="0"/>
          <w:sz w:val="21"/>
        </w:rPr>
        <w:t>心理治疗：CBT（认知行为治疗）、IPT（人际治疗）、PST（问题解决治疗）</w:t>
      </w:r>
    </w:p>
    <w:p>
      <w:pPr>
        <w:pStyle w:val="ListBullet"/>
        <w:spacing w:after="40" w:line="360" w:lineRule="auto"/>
      </w:pPr>
      <w:r>
        <w:rPr>
          <w:rFonts w:ascii="微软雅黑" w:hAnsi="微软雅黑" w:eastAsia="微软雅黑"/>
          <w:b w:val="0"/>
          <w:sz w:val="21"/>
        </w:rPr>
        <w:t>药物治疗：SSRIs、SNRIs、非典型抗抑郁药、TCAs、MAOIs、5-HT 调节剂、NMDA 受体拮抗剂</w:t>
      </w:r>
    </w:p>
    <w:p>
      <w:pPr>
        <w:pStyle w:val="ListBullet"/>
        <w:spacing w:after="40" w:line="360" w:lineRule="auto"/>
      </w:pPr>
      <w:r>
        <w:rPr>
          <w:rFonts w:ascii="微软雅黑" w:hAnsi="微软雅黑" w:eastAsia="微软雅黑"/>
          <w:b w:val="0"/>
          <w:sz w:val="21"/>
        </w:rPr>
        <w:t>器械治疗：TMS（经颅磁）、VNS（迷走神经）、ECT（电休克）、以及基于 App 的数字疗法</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中国注册的临床评价报告（CER）中，需针对上述所有替代疗法做同品种比对分析（尤其是国内首张精神领域 TMS 三类证依瑞德的 CCY 系列），突出 tDCS 的"家用、无手术、低不良事件"三大差异化优势。</w:t>
      </w:r>
    </w:p>
    <w:p>
      <w:pPr>
        <w:spacing w:before="240" w:after="120"/>
      </w:pPr>
      <w:r>
        <w:rPr>
          <w:rFonts w:ascii="微软雅黑" w:hAnsi="微软雅黑" w:eastAsia="微软雅黑"/>
          <w:b/>
          <w:color w:val="365F91"/>
          <w:sz w:val="27"/>
        </w:rPr>
        <w:t>1.7 可能的不良反应（Potential AEs）</w:t>
      </w:r>
    </w:p>
    <w:p>
      <w:pPr>
        <w:spacing w:after="80" w:line="360" w:lineRule="auto"/>
        <w:ind w:firstLine="420"/>
      </w:pPr>
      <w:r>
        <w:rPr>
          <w:rFonts w:ascii="微软雅黑" w:hAnsi="微软雅黑" w:eastAsia="微软雅黑"/>
          <w:b w:val="0"/>
          <w:sz w:val="21"/>
        </w:rPr>
        <w:t>FDA 明确列出的临床研究中观察到的 AE：</w:t>
      </w:r>
    </w:p>
    <w:p>
      <w:pPr>
        <w:pStyle w:val="ListBullet"/>
        <w:spacing w:after="40" w:line="360" w:lineRule="auto"/>
      </w:pPr>
      <w:r>
        <w:rPr>
          <w:rFonts w:ascii="微软雅黑" w:hAnsi="微软雅黑" w:eastAsia="微软雅黑"/>
          <w:b w:val="0"/>
          <w:sz w:val="21"/>
        </w:rPr>
        <w:t>皮肤干燥、皮肤刺激或红斑（电极部位）</w:t>
      </w:r>
    </w:p>
    <w:p>
      <w:pPr>
        <w:pStyle w:val="ListBullet"/>
        <w:spacing w:after="40" w:line="360" w:lineRule="auto"/>
      </w:pPr>
      <w:r>
        <w:rPr>
          <w:rFonts w:ascii="微软雅黑" w:hAnsi="微软雅黑" w:eastAsia="微软雅黑"/>
          <w:b w:val="0"/>
          <w:sz w:val="21"/>
        </w:rPr>
        <w:t>刺痛、刺麻、麻木、烧灼感（刺激期间）</w:t>
      </w:r>
    </w:p>
    <w:p>
      <w:pPr>
        <w:pStyle w:val="ListBullet"/>
        <w:spacing w:after="40" w:line="360" w:lineRule="auto"/>
      </w:pPr>
      <w:r>
        <w:rPr>
          <w:rFonts w:ascii="微软雅黑" w:hAnsi="微软雅黑" w:eastAsia="微软雅黑"/>
          <w:b w:val="0"/>
          <w:sz w:val="21"/>
        </w:rPr>
        <w:t>刺激期间难以集中注意力</w:t>
      </w:r>
    </w:p>
    <w:p>
      <w:pPr>
        <w:pStyle w:val="ListBullet"/>
        <w:spacing w:after="40" w:line="360" w:lineRule="auto"/>
      </w:pPr>
      <w:r>
        <w:rPr>
          <w:rFonts w:ascii="微软雅黑" w:hAnsi="微软雅黑" w:eastAsia="微软雅黑"/>
          <w:b w:val="0"/>
          <w:sz w:val="21"/>
        </w:rPr>
        <w:t>头痛</w:t>
      </w:r>
    </w:p>
    <w:p>
      <w:pPr>
        <w:pStyle w:val="ListBullet"/>
        <w:spacing w:after="40" w:line="360" w:lineRule="auto"/>
      </w:pPr>
      <w:r>
        <w:rPr>
          <w:rFonts w:ascii="微软雅黑" w:hAnsi="微软雅黑" w:eastAsia="微软雅黑"/>
          <w:b w:val="0"/>
          <w:sz w:val="21"/>
        </w:rPr>
        <w:t>耳鸣</w:t>
      </w:r>
    </w:p>
    <w:p>
      <w:pPr>
        <w:pStyle w:val="ListBullet"/>
        <w:spacing w:after="40" w:line="360" w:lineRule="auto"/>
      </w:pPr>
      <w:r>
        <w:rPr>
          <w:rFonts w:ascii="微软雅黑" w:hAnsi="微软雅黑" w:eastAsia="微软雅黑"/>
          <w:b w:val="0"/>
          <w:sz w:val="21"/>
        </w:rPr>
        <w:t>皮肤烧伤</w:t>
      </w:r>
    </w:p>
    <w:p>
      <w:pPr>
        <w:pStyle w:val="ListBullet"/>
        <w:spacing w:after="40" w:line="360" w:lineRule="auto"/>
      </w:pPr>
      <w:r>
        <w:rPr>
          <w:rFonts w:ascii="微软雅黑" w:hAnsi="微软雅黑" w:eastAsia="微软雅黑"/>
          <w:b w:val="0"/>
          <w:sz w:val="21"/>
        </w:rPr>
        <w:t>嗜睡</w:t>
      </w:r>
    </w:p>
    <w:p>
      <w:pPr>
        <w:pStyle w:val="ListBullet"/>
        <w:spacing w:after="40" w:line="360" w:lineRule="auto"/>
      </w:pPr>
      <w:r>
        <w:rPr>
          <w:rFonts w:ascii="微软雅黑" w:hAnsi="微软雅黑" w:eastAsia="微软雅黑"/>
          <w:b w:val="0"/>
          <w:sz w:val="21"/>
        </w:rPr>
        <w:t>急性情绪变化 / 抑郁加重</w:t>
      </w:r>
    </w:p>
    <w:p>
      <w:pPr>
        <w:spacing w:after="80" w:line="360" w:lineRule="auto"/>
        <w:ind w:firstLine="420"/>
      </w:pPr>
      <w:r>
        <w:rPr>
          <w:rFonts w:ascii="微软雅黑" w:hAnsi="微软雅黑" w:eastAsia="微软雅黑"/>
          <w:b w:val="0"/>
          <w:sz w:val="21"/>
        </w:rPr>
        <w:t>其他文献报告的 tDCS 潜在 AE：</w:t>
      </w:r>
    </w:p>
    <w:p>
      <w:pPr>
        <w:pStyle w:val="ListBullet"/>
        <w:spacing w:after="40" w:line="360" w:lineRule="auto"/>
      </w:pPr>
      <w:r>
        <w:rPr>
          <w:rFonts w:ascii="微软雅黑" w:hAnsi="微软雅黑" w:eastAsia="微软雅黑"/>
          <w:b w:val="0"/>
          <w:sz w:val="21"/>
        </w:rPr>
        <w:t>心率加速、急性情绪波动、呼吸改变、视物模糊、瘀伤、嗡鸣感、头晕/恶心、疲劳/嗜睡、潮热、偏头痛、颈痛、皮肤疼痛、生动梦境、狂躁/轻躁狂（其他文献报告）</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方案的"AE 收集清单"可直接采用上述条目作为 tDCS 领域标准 AE list，符合 FDA 审评惯例，也便于 CDE 审评时的可比性判断。建议使用 tDCS 领域已发表的 AEQ（Adverse Events Questionnaire）作为主 AE 收集工具。</w:t>
      </w:r>
    </w:p>
    <w:p>
      <w:r>
        <w:br w:type="page"/>
      </w:r>
    </w:p>
    <w:p>
      <w:pPr>
        <w:spacing w:before="240" w:after="120"/>
      </w:pPr>
      <w:r>
        <w:rPr>
          <w:rFonts w:ascii="微软雅黑" w:hAnsi="微软雅黑" w:eastAsia="微软雅黑"/>
          <w:b/>
          <w:color w:val="1F497D"/>
          <w:sz w:val="32"/>
        </w:rPr>
        <w:t>第二章 非临床研究（5 项）</w:t>
      </w:r>
    </w:p>
    <w:p>
      <w:pPr>
        <w:spacing w:after="40"/>
        <w:ind w:left="280"/>
      </w:pPr>
      <w:r>
        <w:rPr>
          <w:rFonts w:ascii="微软雅黑" w:hAnsi="微软雅黑" w:eastAsia="微软雅黑"/>
          <w:b/>
          <w:color w:val="C00000"/>
          <w:sz w:val="19"/>
        </w:rPr>
        <w:t xml:space="preserve">[原文出处] </w:t>
      </w:r>
      <w:r>
        <w:rPr>
          <w:rFonts w:ascii="微软雅黑" w:hAnsi="微软雅黑" w:eastAsia="微软雅黑"/>
          <w:b w:val="0"/>
          <w:color w:val="595959"/>
          <w:sz w:val="19"/>
        </w:rPr>
        <w:t>FDA SSED §X（Summary of Non-Clinical Studies）</w:t>
      </w:r>
    </w:p>
    <w:p>
      <w:pPr>
        <w:spacing w:before="240" w:after="120"/>
      </w:pPr>
      <w:r>
        <w:rPr>
          <w:rFonts w:ascii="微软雅黑" w:hAnsi="微软雅黑" w:eastAsia="微软雅黑"/>
          <w:b/>
          <w:color w:val="365F91"/>
          <w:sz w:val="27"/>
        </w:rPr>
        <w:t>2.1 生物相容性（Biocompatibility）</w:t>
      </w:r>
    </w:p>
    <w:tbl>
      <w:tblPr>
        <w:tblStyle w:val="LightGrid-Accent1"/>
        <w:tblW w:type="auto" w:w="0"/>
        <w:jc w:val="center"/>
        <w:tblLook w:firstColumn="1" w:firstRow="1" w:lastColumn="0" w:lastRow="0" w:noHBand="0" w:noVBand="1" w:val="04A0"/>
      </w:tblPr>
      <w:tblGrid>
        <w:gridCol w:w="4703"/>
        <w:gridCol w:w="4703"/>
      </w:tblGrid>
      <w:tr>
        <w:tc>
          <w:tcPr>
            <w:tcW w:type="dxa" w:w="2268"/>
            <w:shd w:val="clear" w:color="auto" w:fill="1F497D"/>
            <w:vAlign w:val="center"/>
          </w:tcPr>
          <w:p>
            <w:pPr>
              <w:jc w:val="center"/>
            </w:pPr>
            <w:r/>
            <w:r>
              <w:rPr>
                <w:rFonts w:ascii="微软雅黑" w:hAnsi="微软雅黑" w:eastAsia="微软雅黑"/>
                <w:b/>
                <w:color w:val="FFFFFF"/>
                <w:sz w:val="20"/>
              </w:rPr>
              <w:t>项目</w:t>
            </w:r>
          </w:p>
        </w:tc>
        <w:tc>
          <w:tcPr>
            <w:tcW w:type="dxa" w:w="6803"/>
            <w:shd w:val="clear" w:color="auto" w:fill="1F497D"/>
            <w:vAlign w:val="center"/>
          </w:tcPr>
          <w:p>
            <w:pPr>
              <w:jc w:val="center"/>
            </w:pPr>
            <w:r/>
            <w:r>
              <w:rPr>
                <w:rFonts w:ascii="微软雅黑" w:hAnsi="微软雅黑" w:eastAsia="微软雅黑"/>
                <w:b/>
                <w:color w:val="FFFFFF"/>
                <w:sz w:val="20"/>
              </w:rPr>
              <w:t>内容</w:t>
            </w:r>
          </w:p>
        </w:tc>
      </w:tr>
      <w:tr>
        <w:tc>
          <w:tcPr>
            <w:tcW w:type="dxa" w:w="2268"/>
            <w:vAlign w:val="center"/>
          </w:tcPr>
          <w:p>
            <w:pPr>
              <w:jc w:val="left"/>
            </w:pPr>
            <w:r/>
            <w:r>
              <w:rPr>
                <w:rFonts w:ascii="微软雅黑" w:hAnsi="微软雅黑" w:eastAsia="微软雅黑"/>
                <w:b w:val="0"/>
                <w:sz w:val="19"/>
              </w:rPr>
              <w:t>接触部位</w:t>
            </w:r>
          </w:p>
        </w:tc>
        <w:tc>
          <w:tcPr>
            <w:tcW w:type="dxa" w:w="6803"/>
            <w:vAlign w:val="center"/>
          </w:tcPr>
          <w:p>
            <w:pPr>
              <w:jc w:val="left"/>
            </w:pPr>
            <w:r/>
            <w:r>
              <w:rPr>
                <w:rFonts w:ascii="微软雅黑" w:hAnsi="微软雅黑" w:eastAsia="微软雅黑"/>
                <w:b w:val="0"/>
                <w:sz w:val="19"/>
              </w:rPr>
              <w:t>完整皮肤（intact skin）</w:t>
            </w:r>
          </w:p>
        </w:tc>
      </w:tr>
      <w:tr>
        <w:tc>
          <w:tcPr>
            <w:tcW w:type="dxa" w:w="2268"/>
            <w:vAlign w:val="center"/>
          </w:tcPr>
          <w:p>
            <w:pPr>
              <w:jc w:val="left"/>
            </w:pPr>
            <w:r/>
            <w:r>
              <w:rPr>
                <w:rFonts w:ascii="微软雅黑" w:hAnsi="微软雅黑" w:eastAsia="微软雅黑"/>
                <w:b w:val="0"/>
                <w:sz w:val="19"/>
              </w:rPr>
              <w:t>接触时长</w:t>
            </w:r>
          </w:p>
        </w:tc>
        <w:tc>
          <w:tcPr>
            <w:tcW w:type="dxa" w:w="6803"/>
            <w:vAlign w:val="center"/>
          </w:tcPr>
          <w:p>
            <w:pPr>
              <w:jc w:val="left"/>
            </w:pPr>
            <w:r/>
            <w:r>
              <w:rPr>
                <w:rFonts w:ascii="微软雅黑" w:hAnsi="微软雅黑" w:eastAsia="微软雅黑"/>
                <w:b w:val="0"/>
                <w:sz w:val="19"/>
              </w:rPr>
              <w:t>单次 ≤ 30 分钟；累计使用 ≥ 48 天，累计接触 &gt; 24 小时（分散在数月内）</w:t>
            </w:r>
          </w:p>
        </w:tc>
      </w:tr>
      <w:tr>
        <w:tc>
          <w:tcPr>
            <w:tcW w:type="dxa" w:w="2268"/>
            <w:vAlign w:val="center"/>
          </w:tcPr>
          <w:p>
            <w:pPr>
              <w:jc w:val="left"/>
            </w:pPr>
            <w:r/>
            <w:r>
              <w:rPr>
                <w:rFonts w:ascii="微软雅黑" w:hAnsi="微软雅黑" w:eastAsia="微软雅黑"/>
                <w:b w:val="0"/>
                <w:sz w:val="19"/>
              </w:rPr>
              <w:t>关键材料</w:t>
            </w:r>
          </w:p>
        </w:tc>
        <w:tc>
          <w:tcPr>
            <w:tcW w:type="dxa" w:w="6803"/>
            <w:vAlign w:val="center"/>
          </w:tcPr>
          <w:p>
            <w:pPr>
              <w:jc w:val="left"/>
            </w:pPr>
            <w:r/>
            <w:r>
              <w:rPr>
                <w:rFonts w:ascii="微软雅黑" w:hAnsi="微软雅黑" w:eastAsia="微软雅黑"/>
                <w:b w:val="0"/>
                <w:sz w:val="19"/>
              </w:rPr>
              <w:t>ABS 塑料、医用硅胶、纤维素海绵（均为医疗器械常用低风险材料）</w:t>
            </w:r>
          </w:p>
        </w:tc>
      </w:tr>
      <w:tr>
        <w:tc>
          <w:tcPr>
            <w:tcW w:type="dxa" w:w="2268"/>
            <w:vAlign w:val="center"/>
          </w:tcPr>
          <w:p>
            <w:pPr>
              <w:jc w:val="left"/>
            </w:pPr>
            <w:r/>
            <w:r>
              <w:rPr>
                <w:rFonts w:ascii="微软雅黑" w:hAnsi="微软雅黑" w:eastAsia="微软雅黑"/>
                <w:b w:val="0"/>
                <w:sz w:val="19"/>
              </w:rPr>
              <w:t>评价依据</w:t>
            </w:r>
          </w:p>
        </w:tc>
        <w:tc>
          <w:tcPr>
            <w:tcW w:type="dxa" w:w="6803"/>
            <w:vAlign w:val="center"/>
          </w:tcPr>
          <w:p>
            <w:pPr>
              <w:jc w:val="left"/>
            </w:pPr>
            <w:r/>
            <w:r>
              <w:rPr>
                <w:rFonts w:ascii="微软雅黑" w:hAnsi="微软雅黑" w:eastAsia="微软雅黑"/>
                <w:b w:val="0"/>
                <w:sz w:val="19"/>
              </w:rPr>
              <w:t>ISO 10993-1 生物相容性风险管理评价；FDA 的 "Attachment G: Biocompatibility of Certain Devices in Contact with Intact Skin" 指南</w:t>
            </w:r>
          </w:p>
        </w:tc>
      </w:tr>
    </w:tbl>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中国国标 GB/T 16886 系列（等同 ISO 10993）是必查项。Starstim 走 NMPA 需完成：（1）细胞毒性 GB/T 16886.5；（2）皮肤致敏 GB/T 16886.10；（3）皮内反应 GB/T 16886.23。境外已有生物相容性数据可作为引用来源，减少国内测试量。</w:t>
      </w:r>
    </w:p>
    <w:p>
      <w:pPr>
        <w:spacing w:before="240" w:after="120"/>
      </w:pPr>
      <w:r>
        <w:rPr>
          <w:rFonts w:ascii="微软雅黑" w:hAnsi="微软雅黑" w:eastAsia="微软雅黑"/>
          <w:b/>
          <w:color w:val="365F91"/>
          <w:sz w:val="27"/>
        </w:rPr>
        <w:t>2.2 电磁兼容与电气安全（EMC &amp; Electrical Safety）</w:t>
      </w:r>
    </w:p>
    <w:p>
      <w:pPr>
        <w:spacing w:after="80" w:line="360" w:lineRule="auto"/>
        <w:ind w:firstLine="420"/>
      </w:pPr>
      <w:r>
        <w:rPr>
          <w:rFonts w:ascii="微软雅黑" w:hAnsi="微软雅黑" w:eastAsia="微软雅黑"/>
          <w:b w:val="0"/>
          <w:sz w:val="21"/>
        </w:rPr>
        <w:t>通过测试的国际标准：</w:t>
      </w:r>
    </w:p>
    <w:p>
      <w:pPr>
        <w:pStyle w:val="ListBullet"/>
        <w:spacing w:after="40" w:line="360" w:lineRule="auto"/>
      </w:pPr>
      <w:r>
        <w:rPr>
          <w:rFonts w:ascii="微软雅黑" w:hAnsi="微软雅黑" w:eastAsia="微软雅黑"/>
          <w:b w:val="0"/>
          <w:sz w:val="21"/>
        </w:rPr>
        <w:t>IEC 60601-1 医用电气设备通用安全要求</w:t>
      </w:r>
    </w:p>
    <w:p>
      <w:pPr>
        <w:pStyle w:val="ListBullet"/>
        <w:spacing w:after="40" w:line="360" w:lineRule="auto"/>
      </w:pPr>
      <w:r>
        <w:rPr>
          <w:rFonts w:ascii="微软雅黑" w:hAnsi="微软雅黑" w:eastAsia="微软雅黑"/>
          <w:b w:val="0"/>
          <w:sz w:val="21"/>
        </w:rPr>
        <w:t>IEC 60601-1-2 电磁兼容并列标准</w:t>
      </w:r>
    </w:p>
    <w:p>
      <w:pPr>
        <w:pStyle w:val="ListBullet"/>
        <w:spacing w:after="40" w:line="360" w:lineRule="auto"/>
      </w:pPr>
      <w:r>
        <w:rPr>
          <w:rFonts w:ascii="微软雅黑" w:hAnsi="微软雅黑" w:eastAsia="微软雅黑"/>
          <w:b w:val="0"/>
          <w:sz w:val="21"/>
        </w:rPr>
        <w:t>IEC 60601-1-11 家用医疗电气设备并列标准（关键！家用场景）</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中国注册对应标准：（1）GB 9706.1-2020（等同 IEC 60601-1）；（2）YY 9706.102-2021（等同 IEC 60601-1-2）；（3）**YY 9706.111（等同 IEC 60601-1-11）家用医疗设备并列标准，如果 Starstim 走家用场景必须做**；（4）YY 9706.210-2021 神经和肌肉刺激器专用要求。注册检验必须在国家医疗器械检验所或 CNAS 认可的第三方机构完成。</w:t>
      </w:r>
    </w:p>
    <w:p>
      <w:pPr>
        <w:spacing w:before="240" w:after="120"/>
      </w:pPr>
      <w:r>
        <w:rPr>
          <w:rFonts w:ascii="微软雅黑" w:hAnsi="微软雅黑" w:eastAsia="微软雅黑"/>
          <w:b/>
          <w:color w:val="365F91"/>
          <w:sz w:val="27"/>
        </w:rPr>
        <w:t>2.3 软件与网络安全（Software &amp; Cybersecurity）</w:t>
      </w:r>
    </w:p>
    <w:p>
      <w:pPr>
        <w:spacing w:after="80" w:line="360" w:lineRule="auto"/>
        <w:ind w:firstLine="420"/>
      </w:pPr>
      <w:r>
        <w:rPr>
          <w:rFonts w:ascii="微软雅黑" w:hAnsi="微软雅黑" w:eastAsia="微软雅黑"/>
          <w:b w:val="0"/>
          <w:sz w:val="21"/>
        </w:rPr>
        <w:t>关键要点：</w:t>
      </w:r>
    </w:p>
    <w:p>
      <w:pPr>
        <w:pStyle w:val="ListBullet"/>
        <w:spacing w:after="40" w:line="360" w:lineRule="auto"/>
      </w:pPr>
      <w:r>
        <w:rPr>
          <w:rFonts w:ascii="微软雅黑" w:hAnsi="微软雅黑" w:eastAsia="微软雅黑"/>
          <w:b w:val="0"/>
          <w:sz w:val="21"/>
        </w:rPr>
        <w:t>软件组件：Flow App（患者端）+ CPP 医生门户 + 服务器后端</w:t>
      </w:r>
    </w:p>
    <w:p>
      <w:pPr>
        <w:pStyle w:val="ListBullet"/>
        <w:spacing w:after="40" w:line="360" w:lineRule="auto"/>
      </w:pPr>
      <w:r>
        <w:rPr>
          <w:rFonts w:ascii="微软雅黑" w:hAnsi="微软雅黑" w:eastAsia="微软雅黑"/>
          <w:b w:val="0"/>
          <w:sz w:val="21"/>
        </w:rPr>
        <w:t>软件安全等级：Major level of concern（因是三类器械）</w:t>
      </w:r>
    </w:p>
    <w:p>
      <w:pPr>
        <w:pStyle w:val="ListBullet"/>
        <w:spacing w:after="40" w:line="360" w:lineRule="auto"/>
      </w:pPr>
      <w:r>
        <w:rPr>
          <w:rFonts w:ascii="微软雅黑" w:hAnsi="微软雅黑" w:eastAsia="微软雅黑"/>
          <w:b w:val="0"/>
          <w:sz w:val="21"/>
        </w:rPr>
        <w:t>文档要求：完整的软件生命周期文档 + 网络安全文档</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中国方案对应的国内标准：（1）YY/T 0664-2020 医疗器械软件生存周期过程；（2）YY/T 1843-2022 医疗器械网络安全；（3）NMPA《医疗器械软件注册审查指导原则》2022 修订版；（4）NMPA《医疗器械网络安全注册审查指导原则》2022 修订版。App 端（患者）和 CPP（医生）都属于 SaMD（Software as Medical Device），需按软件产品单独注册或作为设备一部分注册。</w:t>
      </w:r>
    </w:p>
    <w:p>
      <w:pPr>
        <w:spacing w:before="240" w:after="120"/>
      </w:pPr>
      <w:r>
        <w:rPr>
          <w:rFonts w:ascii="微软雅黑" w:hAnsi="微软雅黑" w:eastAsia="微软雅黑"/>
          <w:b/>
          <w:color w:val="365F91"/>
          <w:sz w:val="27"/>
        </w:rPr>
        <w:t>2.4 有效期（Shelf life）</w:t>
      </w:r>
    </w:p>
    <w:p>
      <w:pPr>
        <w:spacing w:after="80" w:line="360" w:lineRule="auto"/>
        <w:ind w:firstLine="420"/>
      </w:pPr>
      <w:r>
        <w:rPr>
          <w:rFonts w:ascii="微软雅黑" w:hAnsi="微软雅黑" w:eastAsia="微软雅黑"/>
          <w:b w:val="0"/>
          <w:sz w:val="21"/>
        </w:rPr>
        <w:t>验证的有效期：3 年（头戴装置 + 电极片）</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的有效期验证通常通过加速老化试验完成（YY/T 0681 系列包装验证 + 加速老化推算）。预留 6–12 个月做完这项。</w:t>
      </w:r>
    </w:p>
    <w:p>
      <w:pPr>
        <w:spacing w:before="240" w:after="120"/>
      </w:pPr>
      <w:r>
        <w:rPr>
          <w:rFonts w:ascii="微软雅黑" w:hAnsi="微软雅黑" w:eastAsia="微软雅黑"/>
          <w:b/>
          <w:color w:val="365F91"/>
          <w:sz w:val="27"/>
        </w:rPr>
        <w:t>2.5 性能测试（Performance Testing）</w:t>
      </w:r>
    </w:p>
    <w:p>
      <w:pPr>
        <w:spacing w:after="80" w:line="360" w:lineRule="auto"/>
        <w:ind w:firstLine="420"/>
      </w:pPr>
      <w:r>
        <w:rPr>
          <w:rFonts w:ascii="微软雅黑" w:hAnsi="微软雅黑" w:eastAsia="微软雅黑"/>
          <w:b w:val="0"/>
          <w:sz w:val="21"/>
        </w:rPr>
        <w:t>FDA 要求：每一台设备在生产环节都验证输出电流为 2.0 ± 0.05 mA。</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出厂验证需覆盖多通道电流精度、波形完整性、总电荷密度（安全阈值）、皮肤接触阻抗监控等，这些是 tDCS 器械的关键性能指标。</w:t>
      </w:r>
    </w:p>
    <w:p>
      <w:r>
        <w:br w:type="page"/>
      </w:r>
    </w:p>
    <w:p>
      <w:pPr>
        <w:spacing w:before="240" w:after="120"/>
      </w:pPr>
      <w:r>
        <w:rPr>
          <w:rFonts w:ascii="微软雅黑" w:hAnsi="微软雅黑" w:eastAsia="微软雅黑"/>
          <w:b/>
          <w:color w:val="1F497D"/>
          <w:sz w:val="32"/>
        </w:rPr>
        <w:t>第三章 关键临床试验 Empower（最重要参考）</w:t>
      </w:r>
    </w:p>
    <w:p>
      <w:pPr>
        <w:spacing w:after="40"/>
        <w:ind w:left="280"/>
      </w:pPr>
      <w:r>
        <w:rPr>
          <w:rFonts w:ascii="微软雅黑" w:hAnsi="微软雅黑" w:eastAsia="微软雅黑"/>
          <w:b/>
          <w:color w:val="C00000"/>
          <w:sz w:val="19"/>
        </w:rPr>
        <w:t xml:space="preserve">[原文出处] </w:t>
      </w:r>
      <w:r>
        <w:rPr>
          <w:rFonts w:ascii="微软雅黑" w:hAnsi="微软雅黑" w:eastAsia="微软雅黑"/>
          <w:b w:val="0"/>
          <w:color w:val="595959"/>
          <w:sz w:val="19"/>
        </w:rPr>
        <w:t>FDA SSED §XI（Summary of Primary Clinical Study）+ 发表于 Nature Medicine 2025;31(1):87-95, PMID 39433921, DOI 10.1038/s41591-024-03305-y</w:t>
      </w:r>
    </w:p>
    <w:p>
      <w:pPr>
        <w:spacing w:before="240" w:after="120"/>
      </w:pPr>
      <w:r>
        <w:rPr>
          <w:rFonts w:ascii="微软雅黑" w:hAnsi="微软雅黑" w:eastAsia="微软雅黑"/>
          <w:b/>
          <w:color w:val="365F91"/>
          <w:sz w:val="27"/>
        </w:rPr>
        <w:t>3.1 试验总览</w:t>
      </w:r>
    </w:p>
    <w:tbl>
      <w:tblPr>
        <w:tblStyle w:val="LightGrid-Accent1"/>
        <w:tblW w:type="auto" w:w="0"/>
        <w:jc w:val="center"/>
        <w:tblLook w:firstColumn="1" w:firstRow="1" w:lastColumn="0" w:lastRow="0" w:noHBand="0" w:noVBand="1" w:val="04A0"/>
      </w:tblPr>
      <w:tblGrid>
        <w:gridCol w:w="4703"/>
        <w:gridCol w:w="4703"/>
      </w:tblGrid>
      <w:tr>
        <w:tc>
          <w:tcPr>
            <w:tcW w:type="dxa" w:w="2268"/>
            <w:shd w:val="clear" w:color="auto" w:fill="1F497D"/>
            <w:vAlign w:val="center"/>
          </w:tcPr>
          <w:p>
            <w:pPr>
              <w:jc w:val="center"/>
            </w:pPr>
            <w:r/>
            <w:r>
              <w:rPr>
                <w:rFonts w:ascii="微软雅黑" w:hAnsi="微软雅黑" w:eastAsia="微软雅黑"/>
                <w:b/>
                <w:color w:val="FFFFFF"/>
                <w:sz w:val="20"/>
              </w:rPr>
              <w:t>项目</w:t>
            </w:r>
          </w:p>
        </w:tc>
        <w:tc>
          <w:tcPr>
            <w:tcW w:type="dxa" w:w="6803"/>
            <w:shd w:val="clear" w:color="auto" w:fill="1F497D"/>
            <w:vAlign w:val="center"/>
          </w:tcPr>
          <w:p>
            <w:pPr>
              <w:jc w:val="center"/>
            </w:pPr>
            <w:r/>
            <w:r>
              <w:rPr>
                <w:rFonts w:ascii="微软雅黑" w:hAnsi="微软雅黑" w:eastAsia="微软雅黑"/>
                <w:b/>
                <w:color w:val="FFFFFF"/>
                <w:sz w:val="20"/>
              </w:rPr>
              <w:t>内容</w:t>
            </w:r>
          </w:p>
        </w:tc>
      </w:tr>
      <w:tr>
        <w:tc>
          <w:tcPr>
            <w:tcW w:type="dxa" w:w="2268"/>
            <w:vAlign w:val="center"/>
          </w:tcPr>
          <w:p>
            <w:pPr>
              <w:jc w:val="left"/>
            </w:pPr>
            <w:r/>
            <w:r>
              <w:rPr>
                <w:rFonts w:ascii="微软雅黑" w:hAnsi="微软雅黑" w:eastAsia="微软雅黑"/>
                <w:b w:val="0"/>
                <w:sz w:val="19"/>
              </w:rPr>
              <w:t>试验名称</w:t>
            </w:r>
          </w:p>
        </w:tc>
        <w:tc>
          <w:tcPr>
            <w:tcW w:type="dxa" w:w="6803"/>
            <w:vAlign w:val="center"/>
          </w:tcPr>
          <w:p>
            <w:pPr>
              <w:jc w:val="left"/>
            </w:pPr>
            <w:r/>
            <w:r>
              <w:rPr>
                <w:rFonts w:ascii="微软雅黑" w:hAnsi="微软雅黑" w:eastAsia="微软雅黑"/>
                <w:b w:val="0"/>
                <w:sz w:val="19"/>
              </w:rPr>
              <w:t>Empower Study</w:t>
            </w:r>
          </w:p>
        </w:tc>
      </w:tr>
      <w:tr>
        <w:tc>
          <w:tcPr>
            <w:tcW w:type="dxa" w:w="2268"/>
            <w:vAlign w:val="center"/>
          </w:tcPr>
          <w:p>
            <w:pPr>
              <w:jc w:val="left"/>
            </w:pPr>
            <w:r/>
            <w:r>
              <w:rPr>
                <w:rFonts w:ascii="微软雅黑" w:hAnsi="微软雅黑" w:eastAsia="微软雅黑"/>
                <w:b w:val="0"/>
                <w:sz w:val="19"/>
              </w:rPr>
              <w:t>正式发表</w:t>
            </w:r>
          </w:p>
        </w:tc>
        <w:tc>
          <w:tcPr>
            <w:tcW w:type="dxa" w:w="6803"/>
            <w:vAlign w:val="center"/>
          </w:tcPr>
          <w:p>
            <w:pPr>
              <w:jc w:val="left"/>
            </w:pPr>
            <w:r/>
            <w:r>
              <w:rPr>
                <w:rFonts w:ascii="微软雅黑" w:hAnsi="微软雅黑" w:eastAsia="微软雅黑"/>
                <w:b w:val="0"/>
                <w:sz w:val="19"/>
              </w:rPr>
              <w:t>Woodham et al. Home-based tDCS treatment for MDD: a fully remote phase 2 RCT. Nature Medicine 2025;31(1):87-95</w:t>
            </w:r>
          </w:p>
        </w:tc>
      </w:tr>
      <w:tr>
        <w:tc>
          <w:tcPr>
            <w:tcW w:type="dxa" w:w="2268"/>
            <w:vAlign w:val="center"/>
          </w:tcPr>
          <w:p>
            <w:pPr>
              <w:jc w:val="left"/>
            </w:pPr>
            <w:r/>
            <w:r>
              <w:rPr>
                <w:rFonts w:ascii="微软雅黑" w:hAnsi="微软雅黑" w:eastAsia="微软雅黑"/>
                <w:b w:val="0"/>
                <w:sz w:val="19"/>
              </w:rPr>
              <w:t>IDE 编号</w:t>
            </w:r>
          </w:p>
        </w:tc>
        <w:tc>
          <w:tcPr>
            <w:tcW w:type="dxa" w:w="6803"/>
            <w:vAlign w:val="center"/>
          </w:tcPr>
          <w:p>
            <w:pPr>
              <w:jc w:val="left"/>
            </w:pPr>
            <w:r/>
            <w:r>
              <w:rPr>
                <w:rFonts w:ascii="微软雅黑" w:hAnsi="微软雅黑" w:eastAsia="微软雅黑"/>
                <w:b w:val="0"/>
                <w:sz w:val="19"/>
              </w:rPr>
              <w:t>G210328</w:t>
            </w:r>
          </w:p>
        </w:tc>
      </w:tr>
      <w:tr>
        <w:tc>
          <w:tcPr>
            <w:tcW w:type="dxa" w:w="2268"/>
            <w:vAlign w:val="center"/>
          </w:tcPr>
          <w:p>
            <w:pPr>
              <w:jc w:val="left"/>
            </w:pPr>
            <w:r/>
            <w:r>
              <w:rPr>
                <w:rFonts w:ascii="微软雅黑" w:hAnsi="微软雅黑" w:eastAsia="微软雅黑"/>
                <w:b w:val="0"/>
                <w:sz w:val="19"/>
              </w:rPr>
              <w:t>试验持续期</w:t>
            </w:r>
          </w:p>
        </w:tc>
        <w:tc>
          <w:tcPr>
            <w:tcW w:type="dxa" w:w="6803"/>
            <w:vAlign w:val="center"/>
          </w:tcPr>
          <w:p>
            <w:pPr>
              <w:jc w:val="left"/>
            </w:pPr>
            <w:r/>
            <w:r>
              <w:rPr>
                <w:rFonts w:ascii="微软雅黑" w:hAnsi="微软雅黑" w:eastAsia="微软雅黑"/>
                <w:b w:val="0"/>
                <w:sz w:val="19"/>
              </w:rPr>
              <w:t>2022 年 6 月 – 2023 年 8 月（患者治疗期）</w:t>
            </w:r>
          </w:p>
        </w:tc>
      </w:tr>
      <w:tr>
        <w:tc>
          <w:tcPr>
            <w:tcW w:type="dxa" w:w="2268"/>
            <w:vAlign w:val="center"/>
          </w:tcPr>
          <w:p>
            <w:pPr>
              <w:jc w:val="left"/>
            </w:pPr>
            <w:r/>
            <w:r>
              <w:rPr>
                <w:rFonts w:ascii="微软雅黑" w:hAnsi="微软雅黑" w:eastAsia="微软雅黑"/>
                <w:b w:val="0"/>
                <w:sz w:val="19"/>
              </w:rPr>
              <w:t>数据库锁定</w:t>
            </w:r>
          </w:p>
        </w:tc>
        <w:tc>
          <w:tcPr>
            <w:tcW w:type="dxa" w:w="6803"/>
            <w:vAlign w:val="center"/>
          </w:tcPr>
          <w:p>
            <w:pPr>
              <w:jc w:val="left"/>
            </w:pPr>
            <w:r/>
            <w:r>
              <w:rPr>
                <w:rFonts w:ascii="微软雅黑" w:hAnsi="微软雅黑" w:eastAsia="微软雅黑"/>
                <w:b w:val="0"/>
                <w:sz w:val="19"/>
              </w:rPr>
              <w:t>2023 年 8 月</w:t>
            </w:r>
          </w:p>
        </w:tc>
      </w:tr>
      <w:tr>
        <w:tc>
          <w:tcPr>
            <w:tcW w:type="dxa" w:w="2268"/>
            <w:vAlign w:val="center"/>
          </w:tcPr>
          <w:p>
            <w:pPr>
              <w:jc w:val="left"/>
            </w:pPr>
            <w:r/>
            <w:r>
              <w:rPr>
                <w:rFonts w:ascii="微软雅黑" w:hAnsi="微软雅黑" w:eastAsia="微软雅黑"/>
                <w:b w:val="0"/>
                <w:sz w:val="19"/>
              </w:rPr>
              <w:t>样本量</w:t>
            </w:r>
          </w:p>
        </w:tc>
        <w:tc>
          <w:tcPr>
            <w:tcW w:type="dxa" w:w="6803"/>
            <w:vAlign w:val="center"/>
          </w:tcPr>
          <w:p>
            <w:pPr>
              <w:jc w:val="left"/>
            </w:pPr>
            <w:r/>
            <w:r>
              <w:rPr>
                <w:rFonts w:ascii="微软雅黑" w:hAnsi="微软雅黑" w:eastAsia="微软雅黑"/>
                <w:b w:val="0"/>
                <w:sz w:val="19"/>
              </w:rPr>
              <w:t>ITT = 174；mITT = 173（1 例随机后未使用设备）</w:t>
            </w:r>
          </w:p>
        </w:tc>
      </w:tr>
      <w:tr>
        <w:tc>
          <w:tcPr>
            <w:tcW w:type="dxa" w:w="2268"/>
            <w:vAlign w:val="center"/>
          </w:tcPr>
          <w:p>
            <w:pPr>
              <w:jc w:val="left"/>
            </w:pPr>
            <w:r/>
            <w:r>
              <w:rPr>
                <w:rFonts w:ascii="微软雅黑" w:hAnsi="微软雅黑" w:eastAsia="微软雅黑"/>
                <w:b w:val="0"/>
                <w:sz w:val="19"/>
              </w:rPr>
              <w:t>地域</w:t>
            </w:r>
          </w:p>
        </w:tc>
        <w:tc>
          <w:tcPr>
            <w:tcW w:type="dxa" w:w="6803"/>
            <w:vAlign w:val="center"/>
          </w:tcPr>
          <w:p>
            <w:pPr>
              <w:jc w:val="left"/>
            </w:pPr>
            <w:r/>
            <w:r>
              <w:rPr>
                <w:rFonts w:ascii="微软雅黑" w:hAnsi="微软雅黑" w:eastAsia="微软雅黑"/>
                <w:b w:val="0"/>
                <w:sz w:val="19"/>
              </w:rPr>
              <w:t>英国（英格兰/威尔士）115 例 + 美国（德州）59 例</w:t>
            </w:r>
          </w:p>
        </w:tc>
      </w:tr>
      <w:tr>
        <w:tc>
          <w:tcPr>
            <w:tcW w:type="dxa" w:w="2268"/>
            <w:vAlign w:val="center"/>
          </w:tcPr>
          <w:p>
            <w:pPr>
              <w:jc w:val="left"/>
            </w:pPr>
            <w:r/>
            <w:r>
              <w:rPr>
                <w:rFonts w:ascii="微软雅黑" w:hAnsi="微软雅黑" w:eastAsia="微软雅黑"/>
                <w:b w:val="0"/>
                <w:sz w:val="19"/>
              </w:rPr>
              <w:t>中心数</w:t>
            </w:r>
          </w:p>
        </w:tc>
        <w:tc>
          <w:tcPr>
            <w:tcW w:type="dxa" w:w="6803"/>
            <w:vAlign w:val="center"/>
          </w:tcPr>
          <w:p>
            <w:pPr>
              <w:jc w:val="left"/>
            </w:pPr>
            <w:r/>
            <w:r>
              <w:rPr>
                <w:rFonts w:ascii="微软雅黑" w:hAnsi="微软雅黑" w:eastAsia="微软雅黑"/>
                <w:b w:val="0"/>
                <w:sz w:val="19"/>
              </w:rPr>
              <w:t>2 个研究中心（伦敦国王学院附属 King's College 医院 + 德州大学 UTHealth 休斯顿分校）</w:t>
            </w:r>
          </w:p>
        </w:tc>
      </w:tr>
      <w:tr>
        <w:tc>
          <w:tcPr>
            <w:tcW w:type="dxa" w:w="2268"/>
            <w:vAlign w:val="center"/>
          </w:tcPr>
          <w:p>
            <w:pPr>
              <w:jc w:val="left"/>
            </w:pPr>
            <w:r/>
            <w:r>
              <w:rPr>
                <w:rFonts w:ascii="微软雅黑" w:hAnsi="微软雅黑" w:eastAsia="微软雅黑"/>
                <w:b w:val="0"/>
                <w:sz w:val="19"/>
              </w:rPr>
              <w:t>随机比例</w:t>
            </w:r>
          </w:p>
        </w:tc>
        <w:tc>
          <w:tcPr>
            <w:tcW w:type="dxa" w:w="6803"/>
            <w:vAlign w:val="center"/>
          </w:tcPr>
          <w:p>
            <w:pPr>
              <w:jc w:val="left"/>
            </w:pPr>
            <w:r/>
            <w:r>
              <w:rPr>
                <w:rFonts w:ascii="微软雅黑" w:hAnsi="微软雅黑" w:eastAsia="微软雅黑"/>
                <w:b w:val="0"/>
                <w:sz w:val="19"/>
              </w:rPr>
              <w:t>1:1（active vs sham）</w:t>
            </w:r>
          </w:p>
        </w:tc>
      </w:tr>
      <w:tr>
        <w:tc>
          <w:tcPr>
            <w:tcW w:type="dxa" w:w="2268"/>
            <w:vAlign w:val="center"/>
          </w:tcPr>
          <w:p>
            <w:pPr>
              <w:jc w:val="left"/>
            </w:pPr>
            <w:r/>
            <w:r>
              <w:rPr>
                <w:rFonts w:ascii="微软雅黑" w:hAnsi="微软雅黑" w:eastAsia="微软雅黑"/>
                <w:b w:val="0"/>
                <w:sz w:val="19"/>
              </w:rPr>
              <w:t>设盲</w:t>
            </w:r>
          </w:p>
        </w:tc>
        <w:tc>
          <w:tcPr>
            <w:tcW w:type="dxa" w:w="6803"/>
            <w:vAlign w:val="center"/>
          </w:tcPr>
          <w:p>
            <w:pPr>
              <w:jc w:val="left"/>
            </w:pPr>
            <w:r/>
            <w:r>
              <w:rPr>
                <w:rFonts w:ascii="微软雅黑" w:hAnsi="微软雅黑" w:eastAsia="微软雅黑"/>
                <w:b w:val="0"/>
                <w:sz w:val="19"/>
              </w:rPr>
              <w:t>双盲（患者 + 评估者）</w:t>
            </w:r>
          </w:p>
        </w:tc>
      </w:tr>
      <w:tr>
        <w:tc>
          <w:tcPr>
            <w:tcW w:type="dxa" w:w="2268"/>
            <w:vAlign w:val="center"/>
          </w:tcPr>
          <w:p>
            <w:pPr>
              <w:jc w:val="left"/>
            </w:pPr>
            <w:r/>
            <w:r>
              <w:rPr>
                <w:rFonts w:ascii="微软雅黑" w:hAnsi="微软雅黑" w:eastAsia="微软雅黑"/>
                <w:b w:val="0"/>
                <w:sz w:val="19"/>
              </w:rPr>
              <w:t>执行模式</w:t>
            </w:r>
          </w:p>
        </w:tc>
        <w:tc>
          <w:tcPr>
            <w:tcW w:type="dxa" w:w="6803"/>
            <w:vAlign w:val="center"/>
          </w:tcPr>
          <w:p>
            <w:pPr>
              <w:jc w:val="left"/>
            </w:pPr>
            <w:r/>
            <w:r>
              <w:rPr>
                <w:rFonts w:ascii="微软雅黑" w:hAnsi="微软雅黑" w:eastAsia="微软雅黑"/>
                <w:b w:val="0"/>
                <w:sz w:val="19"/>
              </w:rPr>
              <w:t>全远程家用（fully remote at-home）</w:t>
            </w:r>
          </w:p>
        </w:tc>
      </w:tr>
      <w:tr>
        <w:tc>
          <w:tcPr>
            <w:tcW w:type="dxa" w:w="2268"/>
            <w:vAlign w:val="center"/>
          </w:tcPr>
          <w:p>
            <w:pPr>
              <w:jc w:val="left"/>
            </w:pPr>
            <w:r/>
            <w:r>
              <w:rPr>
                <w:rFonts w:ascii="微软雅黑" w:hAnsi="微软雅黑" w:eastAsia="微软雅黑"/>
                <w:b w:val="0"/>
                <w:sz w:val="19"/>
              </w:rPr>
              <w:t>总时长</w:t>
            </w:r>
          </w:p>
        </w:tc>
        <w:tc>
          <w:tcPr>
            <w:tcW w:type="dxa" w:w="6803"/>
            <w:vAlign w:val="center"/>
          </w:tcPr>
          <w:p>
            <w:pPr>
              <w:jc w:val="left"/>
            </w:pPr>
            <w:r/>
            <w:r>
              <w:rPr>
                <w:rFonts w:ascii="微软雅黑" w:hAnsi="微软雅黑" w:eastAsia="微软雅黑"/>
                <w:b w:val="0"/>
                <w:sz w:val="19"/>
              </w:rPr>
              <w:t>20 周（10 周盲态 + 10 周开放标签）</w:t>
            </w:r>
          </w:p>
        </w:tc>
      </w:tr>
      <w:tr>
        <w:tc>
          <w:tcPr>
            <w:tcW w:type="dxa" w:w="2268"/>
            <w:vAlign w:val="center"/>
          </w:tcPr>
          <w:p>
            <w:pPr>
              <w:jc w:val="left"/>
            </w:pPr>
            <w:r/>
            <w:r>
              <w:rPr>
                <w:rFonts w:ascii="微软雅黑" w:hAnsi="微软雅黑" w:eastAsia="微软雅黑"/>
                <w:b w:val="0"/>
                <w:sz w:val="19"/>
              </w:rPr>
              <w:t>监督方式</w:t>
            </w:r>
          </w:p>
        </w:tc>
        <w:tc>
          <w:tcPr>
            <w:tcW w:type="dxa" w:w="6803"/>
            <w:vAlign w:val="center"/>
          </w:tcPr>
          <w:p>
            <w:pPr>
              <w:jc w:val="left"/>
            </w:pPr>
            <w:r/>
            <w:r>
              <w:rPr>
                <w:rFonts w:ascii="微软雅黑" w:hAnsi="微软雅黑" w:eastAsia="微软雅黑"/>
                <w:b w:val="0"/>
                <w:sz w:val="19"/>
              </w:rPr>
              <w:t>首次现场指导；此后通过 CPP 医生端远程监督</w:t>
            </w:r>
          </w:p>
        </w:tc>
      </w:tr>
    </w:tbl>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**关键启示**：Flow 只用了 2 个中心 174 例患者就拿下 FDA 三类证。中国 CDE 惯例是 3–5 中心、150–300 例，因此 Starstim 中国临床可以按"3 中心 150 例（100 active + 50 sham 或 1:1）"设计——这是"够用且经济"的样本量。Flow 的"全远程家用"设计极大降低了 CRC 与随访成本，是 Starstim 应重点学习的模式。</w:t>
      </w:r>
    </w:p>
    <w:p>
      <w:pPr>
        <w:spacing w:before="240" w:after="120"/>
      </w:pPr>
      <w:r>
        <w:rPr>
          <w:rFonts w:ascii="微软雅黑" w:hAnsi="微软雅黑" w:eastAsia="微软雅黑"/>
          <w:b/>
          <w:color w:val="365F91"/>
          <w:sz w:val="27"/>
        </w:rPr>
        <w:t>3.2 治疗方案</w:t>
      </w:r>
    </w:p>
    <w:tbl>
      <w:tblPr>
        <w:tblStyle w:val="LightGrid-Accent1"/>
        <w:tblW w:type="auto" w:w="0"/>
        <w:jc w:val="center"/>
        <w:tblLook w:firstColumn="1" w:firstRow="1" w:lastColumn="0" w:lastRow="0" w:noHBand="0" w:noVBand="1" w:val="04A0"/>
      </w:tblPr>
      <w:tblGrid>
        <w:gridCol w:w="4703"/>
        <w:gridCol w:w="4703"/>
      </w:tblGrid>
      <w:tr>
        <w:tc>
          <w:tcPr>
            <w:tcW w:type="dxa" w:w="2268"/>
            <w:shd w:val="clear" w:color="auto" w:fill="1F497D"/>
            <w:vAlign w:val="center"/>
          </w:tcPr>
          <w:p>
            <w:pPr>
              <w:jc w:val="center"/>
            </w:pPr>
            <w:r/>
            <w:r>
              <w:rPr>
                <w:rFonts w:ascii="微软雅黑" w:hAnsi="微软雅黑" w:eastAsia="微软雅黑"/>
                <w:b/>
                <w:color w:val="FFFFFF"/>
                <w:sz w:val="20"/>
              </w:rPr>
              <w:t>阶段/参数</w:t>
            </w:r>
          </w:p>
        </w:tc>
        <w:tc>
          <w:tcPr>
            <w:tcW w:type="dxa" w:w="6803"/>
            <w:shd w:val="clear" w:color="auto" w:fill="1F497D"/>
            <w:vAlign w:val="center"/>
          </w:tcPr>
          <w:p>
            <w:pPr>
              <w:jc w:val="center"/>
            </w:pPr>
            <w:r/>
            <w:r>
              <w:rPr>
                <w:rFonts w:ascii="微软雅黑" w:hAnsi="微软雅黑" w:eastAsia="微软雅黑"/>
                <w:b/>
                <w:color w:val="FFFFFF"/>
                <w:sz w:val="20"/>
              </w:rPr>
              <w:t>内容</w:t>
            </w:r>
          </w:p>
        </w:tc>
      </w:tr>
      <w:tr>
        <w:tc>
          <w:tcPr>
            <w:tcW w:type="dxa" w:w="2268"/>
            <w:vAlign w:val="center"/>
          </w:tcPr>
          <w:p>
            <w:pPr>
              <w:jc w:val="left"/>
            </w:pPr>
            <w:r/>
            <w:r>
              <w:rPr>
                <w:rFonts w:ascii="微软雅黑" w:hAnsi="微软雅黑" w:eastAsia="微软雅黑"/>
                <w:b w:val="0"/>
                <w:sz w:val="19"/>
              </w:rPr>
              <w:t>盲态期（Week 0-10）</w:t>
            </w:r>
          </w:p>
        </w:tc>
        <w:tc>
          <w:tcPr>
            <w:tcW w:type="dxa" w:w="6803"/>
            <w:vAlign w:val="center"/>
          </w:tcPr>
          <w:p>
            <w:pPr>
              <w:jc w:val="left"/>
            </w:pPr>
            <w:r/>
            <w:r>
              <w:rPr>
                <w:rFonts w:ascii="微软雅黑" w:hAnsi="微软雅黑" w:eastAsia="微软雅黑"/>
                <w:b w:val="0"/>
                <w:sz w:val="19"/>
              </w:rPr>
              <w:t>Active：2.0 mA tDCS × 30 min，共 36 次</w:t>
            </w:r>
          </w:p>
        </w:tc>
      </w:tr>
      <w:tr>
        <w:tc>
          <w:tcPr>
            <w:tcW w:type="dxa" w:w="2268"/>
            <w:vAlign w:val="center"/>
          </w:tcPr>
          <w:p>
            <w:pPr>
              <w:jc w:val="left"/>
            </w:pPr>
            <w:r/>
            <w:r>
              <w:rPr>
                <w:rFonts w:ascii="微软雅黑" w:hAnsi="微软雅黑" w:eastAsia="微软雅黑"/>
                <w:b w:val="0"/>
                <w:sz w:val="19"/>
              </w:rPr>
              <w:t>- 前 3 周</w:t>
            </w:r>
          </w:p>
        </w:tc>
        <w:tc>
          <w:tcPr>
            <w:tcW w:type="dxa" w:w="6803"/>
            <w:vAlign w:val="center"/>
          </w:tcPr>
          <w:p>
            <w:pPr>
              <w:jc w:val="left"/>
            </w:pPr>
            <w:r/>
            <w:r>
              <w:rPr>
                <w:rFonts w:ascii="微软雅黑" w:hAnsi="微软雅黑" w:eastAsia="微软雅黑"/>
                <w:b w:val="0"/>
                <w:sz w:val="19"/>
              </w:rPr>
              <w:t>每周 5 次</w:t>
            </w:r>
          </w:p>
        </w:tc>
      </w:tr>
      <w:tr>
        <w:tc>
          <w:tcPr>
            <w:tcW w:type="dxa" w:w="2268"/>
            <w:vAlign w:val="center"/>
          </w:tcPr>
          <w:p>
            <w:pPr>
              <w:jc w:val="left"/>
            </w:pPr>
            <w:r/>
            <w:r>
              <w:rPr>
                <w:rFonts w:ascii="微软雅黑" w:hAnsi="微软雅黑" w:eastAsia="微软雅黑"/>
                <w:b w:val="0"/>
                <w:sz w:val="19"/>
              </w:rPr>
              <w:t>- 后 7 周</w:t>
            </w:r>
          </w:p>
        </w:tc>
        <w:tc>
          <w:tcPr>
            <w:tcW w:type="dxa" w:w="6803"/>
            <w:vAlign w:val="center"/>
          </w:tcPr>
          <w:p>
            <w:pPr>
              <w:jc w:val="left"/>
            </w:pPr>
            <w:r/>
            <w:r>
              <w:rPr>
                <w:rFonts w:ascii="微软雅黑" w:hAnsi="微软雅黑" w:eastAsia="微软雅黑"/>
                <w:b w:val="0"/>
                <w:sz w:val="19"/>
              </w:rPr>
              <w:t>每周 3 次</w:t>
            </w:r>
          </w:p>
        </w:tc>
      </w:tr>
      <w:tr>
        <w:tc>
          <w:tcPr>
            <w:tcW w:type="dxa" w:w="2268"/>
            <w:vAlign w:val="center"/>
          </w:tcPr>
          <w:p>
            <w:pPr>
              <w:jc w:val="left"/>
            </w:pPr>
            <w:r/>
            <w:r>
              <w:rPr>
                <w:rFonts w:ascii="微软雅黑" w:hAnsi="微软雅黑" w:eastAsia="微软雅黑"/>
                <w:b w:val="0"/>
                <w:sz w:val="19"/>
              </w:rPr>
              <w:t>Sham（对照）方案</w:t>
            </w:r>
          </w:p>
        </w:tc>
        <w:tc>
          <w:tcPr>
            <w:tcW w:type="dxa" w:w="6803"/>
            <w:vAlign w:val="center"/>
          </w:tcPr>
          <w:p>
            <w:pPr>
              <w:jc w:val="left"/>
            </w:pPr>
            <w:r/>
            <w:r>
              <w:rPr>
                <w:rFonts w:ascii="微软雅黑" w:hAnsi="微软雅黑" w:eastAsia="微软雅黑"/>
                <w:b w:val="0"/>
                <w:sz w:val="19"/>
              </w:rPr>
              <w:t>30 秒内电流缓升至 1 mA，15 秒内缓降至 0 mA；30 分钟结束前 45 秒重复一次</w:t>
            </w:r>
          </w:p>
        </w:tc>
      </w:tr>
      <w:tr>
        <w:tc>
          <w:tcPr>
            <w:tcW w:type="dxa" w:w="2268"/>
            <w:vAlign w:val="center"/>
          </w:tcPr>
          <w:p>
            <w:pPr>
              <w:jc w:val="left"/>
            </w:pPr>
            <w:r/>
            <w:r>
              <w:rPr>
                <w:rFonts w:ascii="微软雅黑" w:hAnsi="微软雅黑" w:eastAsia="微软雅黑"/>
                <w:b w:val="0"/>
                <w:sz w:val="19"/>
              </w:rPr>
              <w:t>开放标签期（Week 10-20）</w:t>
            </w:r>
          </w:p>
        </w:tc>
        <w:tc>
          <w:tcPr>
            <w:tcW w:type="dxa" w:w="6803"/>
            <w:vAlign w:val="center"/>
          </w:tcPr>
          <w:p>
            <w:pPr>
              <w:jc w:val="left"/>
            </w:pPr>
            <w:r/>
            <w:r>
              <w:rPr>
                <w:rFonts w:ascii="微软雅黑" w:hAnsi="微软雅黑" w:eastAsia="微软雅黑"/>
                <w:b w:val="0"/>
                <w:sz w:val="19"/>
              </w:rPr>
              <w:t>Sham 组转 Active 治疗 10 周；原 Active 组维持治疗每周 3 次</w:t>
            </w:r>
          </w:p>
        </w:tc>
      </w:tr>
      <w:tr>
        <w:tc>
          <w:tcPr>
            <w:tcW w:type="dxa" w:w="2268"/>
            <w:vAlign w:val="center"/>
          </w:tcPr>
          <w:p>
            <w:pPr>
              <w:jc w:val="left"/>
            </w:pPr>
            <w:r/>
            <w:r>
              <w:rPr>
                <w:rFonts w:ascii="微软雅黑" w:hAnsi="微软雅黑" w:eastAsia="微软雅黑"/>
                <w:b w:val="0"/>
                <w:sz w:val="19"/>
              </w:rPr>
              <w:t>首次刺激监督</w:t>
            </w:r>
          </w:p>
        </w:tc>
        <w:tc>
          <w:tcPr>
            <w:tcW w:type="dxa" w:w="6803"/>
            <w:vAlign w:val="center"/>
          </w:tcPr>
          <w:p>
            <w:pPr>
              <w:jc w:val="left"/>
            </w:pPr>
            <w:r/>
            <w:r>
              <w:rPr>
                <w:rFonts w:ascii="微软雅黑" w:hAnsi="微软雅黑" w:eastAsia="微软雅黑"/>
                <w:b w:val="0"/>
                <w:sz w:val="19"/>
              </w:rPr>
              <w:t>由研究人员现场指导</w:t>
            </w:r>
          </w:p>
        </w:tc>
      </w:tr>
      <w:tr>
        <w:tc>
          <w:tcPr>
            <w:tcW w:type="dxa" w:w="2268"/>
            <w:vAlign w:val="center"/>
          </w:tcPr>
          <w:p>
            <w:pPr>
              <w:jc w:val="left"/>
            </w:pPr>
            <w:r/>
            <w:r>
              <w:rPr>
                <w:rFonts w:ascii="微软雅黑" w:hAnsi="微软雅黑" w:eastAsia="微软雅黑"/>
                <w:b w:val="0"/>
                <w:sz w:val="19"/>
              </w:rPr>
              <w:t>后续监督</w:t>
            </w:r>
          </w:p>
        </w:tc>
        <w:tc>
          <w:tcPr>
            <w:tcW w:type="dxa" w:w="6803"/>
            <w:vAlign w:val="center"/>
          </w:tcPr>
          <w:p>
            <w:pPr>
              <w:jc w:val="left"/>
            </w:pPr>
            <w:r/>
            <w:r>
              <w:rPr>
                <w:rFonts w:ascii="微软雅黑" w:hAnsi="微软雅黑" w:eastAsia="微软雅黑"/>
                <w:b w:val="0"/>
                <w:sz w:val="19"/>
              </w:rPr>
              <w:t>CPP 医生端远程监督（研究员定期查看使用记录）</w:t>
            </w:r>
          </w:p>
        </w:tc>
      </w:tr>
    </w:tbl>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中国方案可直接采用相同或简化的治疗强度（2 mA × 30 min × 36 次），但需选择"多中心均可支持的物流方案"。中国国情下"全远程家用"仍有争议（CDE 通常希望有中心访视），建议改良为"前 4 次在院指导 + 后续家用远程督导 + Week 5/10/20 现场访视"。</w:t>
      </w:r>
    </w:p>
    <w:p>
      <w:pPr>
        <w:spacing w:before="240" w:after="120"/>
      </w:pPr>
      <w:r>
        <w:rPr>
          <w:rFonts w:ascii="微软雅黑" w:hAnsi="微软雅黑" w:eastAsia="微软雅黑"/>
          <w:b/>
          <w:color w:val="365F91"/>
          <w:sz w:val="27"/>
        </w:rPr>
        <w:t>3.3 入选标准（15 条，Inclusion Criteria）</w:t>
      </w:r>
    </w:p>
    <w:p>
      <w:pPr>
        <w:pStyle w:val="ListNumber"/>
        <w:spacing w:after="40" w:line="360" w:lineRule="auto"/>
      </w:pPr>
      <w:r>
        <w:rPr>
          <w:rFonts w:ascii="微软雅黑" w:hAnsi="微软雅黑" w:eastAsia="微软雅黑"/>
          <w:b w:val="0"/>
          <w:sz w:val="21"/>
        </w:rPr>
        <w:t>年龄 ≥ 18 岁</w:t>
      </w:r>
    </w:p>
    <w:p>
      <w:pPr>
        <w:pStyle w:val="ListNumber"/>
        <w:spacing w:after="40" w:line="360" w:lineRule="auto"/>
      </w:pPr>
      <w:r>
        <w:rPr>
          <w:rFonts w:ascii="微软雅黑" w:hAnsi="微软雅黑" w:eastAsia="微软雅黑"/>
          <w:b w:val="0"/>
          <w:sz w:val="21"/>
        </w:rPr>
        <w:t>DSM-V 诊断为单相 MDD 当前发作期</w:t>
      </w:r>
    </w:p>
    <w:p>
      <w:pPr>
        <w:pStyle w:val="ListNumber"/>
        <w:spacing w:after="40" w:line="360" w:lineRule="auto"/>
      </w:pPr>
      <w:r>
        <w:rPr>
          <w:rFonts w:ascii="微软雅黑" w:hAnsi="微软雅黑" w:eastAsia="微软雅黑"/>
          <w:b w:val="0"/>
          <w:sz w:val="21"/>
        </w:rPr>
        <w:t>HDRS-17 评分 ≥ 16 分</w:t>
      </w:r>
    </w:p>
    <w:p>
      <w:pPr>
        <w:pStyle w:val="ListNumber"/>
        <w:spacing w:after="40" w:line="360" w:lineRule="auto"/>
      </w:pPr>
      <w:r>
        <w:rPr>
          <w:rFonts w:ascii="微软雅黑" w:hAnsi="微软雅黑" w:eastAsia="微软雅黑"/>
          <w:b w:val="0"/>
          <w:sz w:val="21"/>
        </w:rPr>
        <w:t>入组前 6 周内：未服抗抑郁药 或 使用稳定的抗抑郁药方案（同意维持不变）</w:t>
      </w:r>
    </w:p>
    <w:p>
      <w:pPr>
        <w:pStyle w:val="ListNumber"/>
        <w:spacing w:after="40" w:line="360" w:lineRule="auto"/>
      </w:pPr>
      <w:r>
        <w:rPr>
          <w:rFonts w:ascii="微软雅黑" w:hAnsi="微软雅黑" w:eastAsia="微软雅黑"/>
          <w:b w:val="0"/>
          <w:sz w:val="21"/>
        </w:rPr>
        <w:t>如接受心理治疗，入组前 6 周维持稳定</w:t>
      </w:r>
    </w:p>
    <w:p>
      <w:pPr>
        <w:pStyle w:val="ListNumber"/>
        <w:spacing w:after="40" w:line="360" w:lineRule="auto"/>
      </w:pPr>
      <w:r>
        <w:rPr>
          <w:rFonts w:ascii="微软雅黑" w:hAnsi="微软雅黑" w:eastAsia="微软雅黑"/>
          <w:b w:val="0"/>
          <w:sz w:val="21"/>
        </w:rPr>
        <w:t>拥有稳定网络连接</w:t>
      </w:r>
    </w:p>
    <w:p>
      <w:pPr>
        <w:pStyle w:val="ListNumber"/>
        <w:spacing w:after="40" w:line="360" w:lineRule="auto"/>
      </w:pPr>
      <w:r>
        <w:rPr>
          <w:rFonts w:ascii="微软雅黑" w:hAnsi="微软雅黑" w:eastAsia="微软雅黑"/>
          <w:b w:val="0"/>
          <w:sz w:val="21"/>
        </w:rPr>
        <w:t>拥有 Android 5.0+ / iOS 12+ 智能手机且能熟练使用</w:t>
      </w:r>
    </w:p>
    <w:p>
      <w:pPr>
        <w:pStyle w:val="ListNumber"/>
        <w:spacing w:after="40" w:line="360" w:lineRule="auto"/>
      </w:pPr>
      <w:r>
        <w:rPr>
          <w:rFonts w:ascii="微软雅黑" w:hAnsi="微软雅黑" w:eastAsia="微软雅黑"/>
          <w:b w:val="0"/>
          <w:sz w:val="21"/>
        </w:rPr>
        <w:t>当前居住地在英格兰/威尔士（英国）或德州（美国）</w:t>
      </w:r>
    </w:p>
    <w:p>
      <w:pPr>
        <w:pStyle w:val="ListNumber"/>
        <w:spacing w:after="40" w:line="360" w:lineRule="auto"/>
      </w:pPr>
      <w:r>
        <w:rPr>
          <w:rFonts w:ascii="微软雅黑" w:hAnsi="微软雅黑" w:eastAsia="微软雅黑"/>
          <w:b w:val="0"/>
          <w:sz w:val="21"/>
        </w:rPr>
        <w:t>当前由精神科医生或初级保健医师管理，同意定期评估</w:t>
      </w:r>
    </w:p>
    <w:p>
      <w:pPr>
        <w:pStyle w:val="ListNumber"/>
        <w:spacing w:after="40" w:line="360" w:lineRule="auto"/>
      </w:pPr>
      <w:r>
        <w:rPr>
          <w:rFonts w:ascii="微软雅黑" w:hAnsi="微软雅黑" w:eastAsia="微软雅黑"/>
          <w:b w:val="0"/>
          <w:sz w:val="21"/>
        </w:rPr>
        <w:t>同意研究人员与其医疗提供者沟通</w:t>
      </w:r>
    </w:p>
    <w:p>
      <w:pPr>
        <w:pStyle w:val="ListNumber"/>
        <w:spacing w:after="40" w:line="360" w:lineRule="auto"/>
      </w:pPr>
      <w:r>
        <w:rPr>
          <w:rFonts w:ascii="微软雅黑" w:hAnsi="微软雅黑" w:eastAsia="微软雅黑"/>
          <w:b w:val="0"/>
          <w:sz w:val="21"/>
        </w:rPr>
        <w:t>提供至少 2 位居住在 60 分钟车程内的紧急联系人</w:t>
      </w:r>
    </w:p>
    <w:p>
      <w:pPr>
        <w:pStyle w:val="ListNumber"/>
        <w:spacing w:after="40" w:line="360" w:lineRule="auto"/>
      </w:pPr>
      <w:r>
        <w:rPr>
          <w:rFonts w:ascii="微软雅黑" w:hAnsi="微软雅黑" w:eastAsia="微软雅黑"/>
          <w:b w:val="0"/>
          <w:sz w:val="21"/>
        </w:rPr>
        <w:t>签署知情同意书</w:t>
      </w:r>
    </w:p>
    <w:p>
      <w:pPr>
        <w:pStyle w:val="ListNumber"/>
        <w:spacing w:after="40" w:line="360" w:lineRule="auto"/>
      </w:pPr>
      <w:r>
        <w:rPr>
          <w:rFonts w:ascii="微软雅黑" w:hAnsi="微软雅黑" w:eastAsia="微软雅黑"/>
          <w:b w:val="0"/>
          <w:sz w:val="21"/>
        </w:rPr>
        <w:t>愿意配合所有试验流程</w:t>
      </w:r>
    </w:p>
    <w:p>
      <w:pPr>
        <w:pStyle w:val="ListNumber"/>
        <w:spacing w:after="40" w:line="360" w:lineRule="auto"/>
      </w:pPr>
      <w:r>
        <w:rPr>
          <w:rFonts w:ascii="微软雅黑" w:hAnsi="微软雅黑" w:eastAsia="微软雅黑"/>
          <w:b w:val="0"/>
          <w:sz w:val="21"/>
        </w:rPr>
        <w:t>在试验期间维持所有入选标准</w:t>
      </w:r>
    </w:p>
    <w:p>
      <w:pPr>
        <w:pStyle w:val="ListNumber"/>
        <w:spacing w:after="40" w:line="360" w:lineRule="auto"/>
      </w:pPr>
      <w:r>
        <w:rPr>
          <w:rFonts w:ascii="微软雅黑" w:hAnsi="微软雅黑" w:eastAsia="微软雅黑"/>
          <w:b w:val="0"/>
          <w:sz w:val="21"/>
        </w:rPr>
        <w:t>同意参与"自杀风险管理协议"</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中国方案的入选标准可简化到 10–12 条，保留 DSM-5 诊断、HDRS-17 ≥ 16、药物治疗稳定/未用、可智能手机操作、稳定联系方式几项核心即可。"60 分钟车程紧急联系人"这一条是 FDA 特有的家用安全要求，中国也可保留一条简化版。</w:t>
      </w:r>
    </w:p>
    <w:p>
      <w:pPr>
        <w:spacing w:before="240" w:after="120"/>
      </w:pPr>
      <w:r>
        <w:rPr>
          <w:rFonts w:ascii="微软雅黑" w:hAnsi="微软雅黑" w:eastAsia="微软雅黑"/>
          <w:b/>
          <w:color w:val="365F91"/>
          <w:sz w:val="27"/>
        </w:rPr>
        <w:t>3.4 排除标准（35 条，Exclusion Criteria）</w:t>
      </w:r>
    </w:p>
    <w:p>
      <w:pPr>
        <w:spacing w:after="80" w:line="360" w:lineRule="auto"/>
        <w:ind w:firstLine="420"/>
      </w:pPr>
      <w:r>
        <w:rPr>
          <w:rFonts w:ascii="微软雅黑" w:hAnsi="微软雅黑" w:eastAsia="微软雅黑"/>
          <w:b w:val="0"/>
          <w:sz w:val="21"/>
        </w:rPr>
        <w:t>FDA 审评的排除标准非常严格，共 35 条。以下按类别归类：</w:t>
      </w:r>
    </w:p>
    <w:p>
      <w:pPr>
        <w:spacing w:after="80" w:line="360" w:lineRule="auto"/>
      </w:pPr>
      <w:r>
        <w:rPr>
          <w:rFonts w:ascii="微软雅黑" w:hAnsi="微软雅黑" w:eastAsia="微软雅黑"/>
          <w:b/>
          <w:sz w:val="21"/>
        </w:rPr>
        <w:t>精神/情感状态（11 条）</w:t>
      </w:r>
    </w:p>
    <w:p>
      <w:pPr>
        <w:pStyle w:val="ListBullet2"/>
        <w:spacing w:after="40" w:line="360" w:lineRule="auto"/>
      </w:pPr>
      <w:r>
        <w:rPr>
          <w:rFonts w:ascii="微软雅黑" w:hAnsi="微软雅黑" w:eastAsia="微软雅黑"/>
          <w:b w:val="0"/>
          <w:sz w:val="21"/>
        </w:rPr>
        <w:t>当前狂躁状态（YMRS）或精神病状态（MINI）</w:t>
      </w:r>
    </w:p>
    <w:p>
      <w:pPr>
        <w:pStyle w:val="ListBullet2"/>
        <w:spacing w:after="40" w:line="360" w:lineRule="auto"/>
      </w:pPr>
      <w:r>
        <w:rPr>
          <w:rFonts w:ascii="微软雅黑" w:hAnsi="微软雅黑" w:eastAsia="微软雅黑"/>
          <w:b w:val="0"/>
          <w:sz w:val="21"/>
        </w:rPr>
        <w:t>其他 MDD 干预治疗（除稳定抗抑郁药与心理治疗）</w:t>
      </w:r>
    </w:p>
    <w:p>
      <w:pPr>
        <w:pStyle w:val="ListBullet2"/>
        <w:spacing w:after="40" w:line="360" w:lineRule="auto"/>
      </w:pPr>
      <w:r>
        <w:rPr>
          <w:rFonts w:ascii="微软雅黑" w:hAnsi="微软雅黑" w:eastAsia="微软雅黑"/>
          <w:b w:val="0"/>
          <w:sz w:val="21"/>
        </w:rPr>
        <w:t>治疗抵抗性抑郁 TRD（≥2 次足量足疗程抗抑郁药无效）</w:t>
      </w:r>
    </w:p>
    <w:p>
      <w:pPr>
        <w:pStyle w:val="ListBullet2"/>
        <w:spacing w:after="40" w:line="360" w:lineRule="auto"/>
      </w:pPr>
      <w:r>
        <w:rPr>
          <w:rFonts w:ascii="微软雅黑" w:hAnsi="微软雅黑" w:eastAsia="微软雅黑"/>
          <w:b w:val="0"/>
          <w:sz w:val="21"/>
        </w:rPr>
        <w:t>C-SSRS Triage 中问题 4/5/6 回答"是"</w:t>
      </w:r>
    </w:p>
    <w:p>
      <w:pPr>
        <w:pStyle w:val="ListBullet2"/>
        <w:spacing w:after="40" w:line="360" w:lineRule="auto"/>
      </w:pPr>
      <w:r>
        <w:rPr>
          <w:rFonts w:ascii="微软雅黑" w:hAnsi="微软雅黑" w:eastAsia="微软雅黑"/>
          <w:b w:val="0"/>
          <w:sz w:val="21"/>
        </w:rPr>
        <w:t>有自杀行为住院史</w:t>
      </w:r>
    </w:p>
    <w:p>
      <w:pPr>
        <w:pStyle w:val="ListBullet2"/>
        <w:spacing w:after="40" w:line="360" w:lineRule="auto"/>
      </w:pPr>
      <w:r>
        <w:rPr>
          <w:rFonts w:ascii="微软雅黑" w:hAnsi="微软雅黑" w:eastAsia="微软雅黑"/>
          <w:b w:val="0"/>
          <w:sz w:val="21"/>
        </w:rPr>
        <w:t>曾诊断 OCD、双相 1 或 2 型</w:t>
      </w:r>
    </w:p>
    <w:p>
      <w:pPr>
        <w:pStyle w:val="ListBullet2"/>
        <w:spacing w:after="40" w:line="360" w:lineRule="auto"/>
      </w:pPr>
      <w:r>
        <w:rPr>
          <w:rFonts w:ascii="微软雅黑" w:hAnsi="微软雅黑" w:eastAsia="微软雅黑"/>
          <w:b w:val="0"/>
          <w:sz w:val="21"/>
        </w:rPr>
        <w:t>当前诊断为主要焦虑障碍、PTSD、恐惧症、厌食/贪食、惊恐障碍、人格障碍（活动症状）</w:t>
      </w:r>
    </w:p>
    <w:p>
      <w:pPr>
        <w:pStyle w:val="ListBullet2"/>
        <w:spacing w:after="40" w:line="360" w:lineRule="auto"/>
      </w:pPr>
      <w:r>
        <w:rPr>
          <w:rFonts w:ascii="微软雅黑" w:hAnsi="微软雅黑" w:eastAsia="微软雅黑"/>
          <w:b w:val="0"/>
          <w:sz w:val="21"/>
        </w:rPr>
        <w:t>有狂躁或精神病病史</w:t>
      </w:r>
    </w:p>
    <w:p>
      <w:pPr>
        <w:pStyle w:val="ListBullet2"/>
        <w:spacing w:after="40" w:line="360" w:lineRule="auto"/>
      </w:pPr>
      <w:r>
        <w:rPr>
          <w:rFonts w:ascii="微软雅黑" w:hAnsi="微软雅黑" w:eastAsia="微软雅黑"/>
          <w:b w:val="0"/>
          <w:sz w:val="21"/>
        </w:rPr>
        <w:t>曾用氯胺酮/艾司氯胺酮治疗抑郁</w:t>
      </w:r>
    </w:p>
    <w:p>
      <w:pPr>
        <w:pStyle w:val="ListBullet2"/>
        <w:spacing w:after="40" w:line="360" w:lineRule="auto"/>
      </w:pPr>
      <w:r>
        <w:rPr>
          <w:rFonts w:ascii="微软雅黑" w:hAnsi="微软雅黑" w:eastAsia="微软雅黑"/>
          <w:b w:val="0"/>
          <w:sz w:val="21"/>
        </w:rPr>
        <w:t>曾因抑郁住院</w:t>
      </w:r>
    </w:p>
    <w:p>
      <w:pPr>
        <w:pStyle w:val="ListBullet2"/>
        <w:spacing w:after="40" w:line="360" w:lineRule="auto"/>
      </w:pPr>
      <w:r>
        <w:rPr>
          <w:rFonts w:ascii="微软雅黑" w:hAnsi="微软雅黑" w:eastAsia="微软雅黑"/>
          <w:b w:val="0"/>
          <w:sz w:val="21"/>
        </w:rPr>
        <w:t>曾接受抑郁精神外科手术</w:t>
      </w:r>
    </w:p>
    <w:p>
      <w:pPr>
        <w:spacing w:after="80" w:line="360" w:lineRule="auto"/>
      </w:pPr>
      <w:r>
        <w:rPr>
          <w:rFonts w:ascii="微软雅黑" w:hAnsi="微软雅黑" w:eastAsia="微软雅黑"/>
          <w:b/>
          <w:sz w:val="21"/>
        </w:rPr>
        <w:t>神经系统（10 条）</w:t>
      </w:r>
    </w:p>
    <w:p>
      <w:pPr>
        <w:pStyle w:val="ListBullet2"/>
        <w:spacing w:after="40" w:line="360" w:lineRule="auto"/>
      </w:pPr>
      <w:r>
        <w:rPr>
          <w:rFonts w:ascii="微软雅黑" w:hAnsi="微软雅黑" w:eastAsia="微软雅黑"/>
          <w:b w:val="0"/>
          <w:sz w:val="21"/>
        </w:rPr>
        <w:t>既往有 ECT、TMS、CES、tDCS、DBS 或其他脑刺激史</w:t>
      </w:r>
    </w:p>
    <w:p>
      <w:pPr>
        <w:pStyle w:val="ListBullet2"/>
        <w:spacing w:after="40" w:line="360" w:lineRule="auto"/>
      </w:pPr>
      <w:r>
        <w:rPr>
          <w:rFonts w:ascii="微软雅黑" w:hAnsi="微软雅黑" w:eastAsia="微软雅黑"/>
          <w:b w:val="0"/>
          <w:sz w:val="21"/>
        </w:rPr>
        <w:t>结构性脑病变（卒中、皮质下病变异常等）</w:t>
      </w:r>
    </w:p>
    <w:p>
      <w:pPr>
        <w:pStyle w:val="ListBullet2"/>
        <w:spacing w:after="40" w:line="360" w:lineRule="auto"/>
      </w:pPr>
      <w:r>
        <w:rPr>
          <w:rFonts w:ascii="微软雅黑" w:hAnsi="微软雅黑" w:eastAsia="微软雅黑"/>
          <w:b w:val="0"/>
          <w:sz w:val="21"/>
        </w:rPr>
        <w:t>脑内 / 颅骨植入物（DBS 等）</w:t>
      </w:r>
    </w:p>
    <w:p>
      <w:pPr>
        <w:pStyle w:val="ListBullet2"/>
        <w:spacing w:after="40" w:line="360" w:lineRule="auto"/>
      </w:pPr>
      <w:r>
        <w:rPr>
          <w:rFonts w:ascii="微软雅黑" w:hAnsi="微软雅黑" w:eastAsia="微软雅黑"/>
          <w:b w:val="0"/>
          <w:sz w:val="21"/>
        </w:rPr>
        <w:t>颅骨缺损</w:t>
      </w:r>
    </w:p>
    <w:p>
      <w:pPr>
        <w:pStyle w:val="ListBullet2"/>
        <w:spacing w:after="40" w:line="360" w:lineRule="auto"/>
      </w:pPr>
      <w:r>
        <w:rPr>
          <w:rFonts w:ascii="微软雅黑" w:hAnsi="微软雅黑" w:eastAsia="微软雅黑"/>
          <w:b w:val="0"/>
          <w:sz w:val="21"/>
        </w:rPr>
        <w:t>癫痫或痉挛发作史（含戒断/诱发）</w:t>
      </w:r>
    </w:p>
    <w:p>
      <w:pPr>
        <w:pStyle w:val="ListBullet2"/>
        <w:spacing w:after="40" w:line="360" w:lineRule="auto"/>
      </w:pPr>
      <w:r>
        <w:rPr>
          <w:rFonts w:ascii="微软雅黑" w:hAnsi="微软雅黑" w:eastAsia="微软雅黑"/>
          <w:b w:val="0"/>
          <w:sz w:val="21"/>
        </w:rPr>
        <w:t>头部有金属残片或铁磁材料</w:t>
      </w:r>
    </w:p>
    <w:p>
      <w:pPr>
        <w:pStyle w:val="ListBullet2"/>
        <w:spacing w:after="40" w:line="360" w:lineRule="auto"/>
      </w:pPr>
      <w:r>
        <w:rPr>
          <w:rFonts w:ascii="微软雅黑" w:hAnsi="微软雅黑" w:eastAsia="微软雅黑"/>
          <w:b w:val="0"/>
          <w:sz w:val="21"/>
        </w:rPr>
        <w:t>曾诊断自闭症谱系障碍</w:t>
      </w:r>
    </w:p>
    <w:p>
      <w:pPr>
        <w:pStyle w:val="ListBullet2"/>
        <w:spacing w:after="40" w:line="360" w:lineRule="auto"/>
      </w:pPr>
      <w:r>
        <w:rPr>
          <w:rFonts w:ascii="微软雅黑" w:hAnsi="微软雅黑" w:eastAsia="微软雅黑"/>
          <w:b w:val="0"/>
          <w:sz w:val="21"/>
        </w:rPr>
        <w:t>认知障碍（含痴呆）</w:t>
      </w:r>
    </w:p>
    <w:p>
      <w:pPr>
        <w:pStyle w:val="ListBullet2"/>
        <w:spacing w:after="40" w:line="360" w:lineRule="auto"/>
      </w:pPr>
      <w:r>
        <w:rPr>
          <w:rFonts w:ascii="微软雅黑" w:hAnsi="微软雅黑" w:eastAsia="微软雅黑"/>
          <w:b w:val="0"/>
          <w:sz w:val="21"/>
        </w:rPr>
        <w:t>帕金森病或其他运动障碍</w:t>
      </w:r>
    </w:p>
    <w:p>
      <w:pPr>
        <w:pStyle w:val="ListBullet2"/>
        <w:spacing w:after="40" w:line="360" w:lineRule="auto"/>
      </w:pPr>
      <w:r>
        <w:rPr>
          <w:rFonts w:ascii="微软雅黑" w:hAnsi="微软雅黑" w:eastAsia="微软雅黑"/>
          <w:b w:val="0"/>
          <w:sz w:val="21"/>
        </w:rPr>
        <w:t>有慢性偏头痛</w:t>
      </w:r>
    </w:p>
    <w:p>
      <w:pPr>
        <w:spacing w:after="80" w:line="360" w:lineRule="auto"/>
      </w:pPr>
      <w:r>
        <w:rPr>
          <w:rFonts w:ascii="微软雅黑" w:hAnsi="微软雅黑" w:eastAsia="微软雅黑"/>
          <w:b/>
          <w:sz w:val="21"/>
        </w:rPr>
        <w:t>医学与生活方式（9 条）</w:t>
      </w:r>
    </w:p>
    <w:p>
      <w:pPr>
        <w:pStyle w:val="ListBullet2"/>
        <w:spacing w:after="40" w:line="360" w:lineRule="auto"/>
      </w:pPr>
      <w:r>
        <w:rPr>
          <w:rFonts w:ascii="微软雅黑" w:hAnsi="微软雅黑" w:eastAsia="微软雅黑"/>
          <w:b w:val="0"/>
          <w:sz w:val="21"/>
        </w:rPr>
        <w:t>维生素或激素缺乏可能类似情绪障碍</w:t>
      </w:r>
    </w:p>
    <w:p>
      <w:pPr>
        <w:pStyle w:val="ListBullet2"/>
        <w:spacing w:after="40" w:line="360" w:lineRule="auto"/>
      </w:pPr>
      <w:r>
        <w:rPr>
          <w:rFonts w:ascii="微软雅黑" w:hAnsi="微软雅黑" w:eastAsia="微软雅黑"/>
          <w:b w:val="0"/>
          <w:sz w:val="21"/>
        </w:rPr>
        <w:t>慢性重度失眠（&lt; 4 h/晚）或抑郁继发于慢性失眠/睡眠呼吸暂停</w:t>
      </w:r>
    </w:p>
    <w:p>
      <w:pPr>
        <w:pStyle w:val="ListBullet2"/>
        <w:spacing w:after="40" w:line="360" w:lineRule="auto"/>
      </w:pPr>
      <w:r>
        <w:rPr>
          <w:rFonts w:ascii="微软雅黑" w:hAnsi="微软雅黑" w:eastAsia="微软雅黑"/>
          <w:b w:val="0"/>
          <w:sz w:val="21"/>
        </w:rPr>
        <w:t>任何可能影响完成问卷的疾病</w:t>
      </w:r>
    </w:p>
    <w:p>
      <w:pPr>
        <w:pStyle w:val="ListBullet2"/>
        <w:spacing w:after="40" w:line="360" w:lineRule="auto"/>
      </w:pPr>
      <w:r>
        <w:rPr>
          <w:rFonts w:ascii="微软雅黑" w:hAnsi="微软雅黑" w:eastAsia="微软雅黑"/>
          <w:b w:val="0"/>
          <w:sz w:val="21"/>
        </w:rPr>
        <w:t>当前物质滥用（入组前 &lt;1 周）</w:t>
      </w:r>
    </w:p>
    <w:p>
      <w:pPr>
        <w:pStyle w:val="ListBullet2"/>
        <w:spacing w:after="40" w:line="360" w:lineRule="auto"/>
      </w:pPr>
      <w:r>
        <w:rPr>
          <w:rFonts w:ascii="微软雅黑" w:hAnsi="微软雅黑" w:eastAsia="微软雅黑"/>
          <w:b w:val="0"/>
          <w:sz w:val="21"/>
        </w:rPr>
        <w:t>当前使用影响皮质兴奋性的药物（如苯二氮䓬、抗癫痫药）</w:t>
      </w:r>
    </w:p>
    <w:p>
      <w:pPr>
        <w:pStyle w:val="ListBullet2"/>
        <w:spacing w:after="40" w:line="360" w:lineRule="auto"/>
      </w:pPr>
      <w:r>
        <w:rPr>
          <w:rFonts w:ascii="微软雅黑" w:hAnsi="微软雅黑" w:eastAsia="微软雅黑"/>
          <w:b w:val="0"/>
          <w:sz w:val="21"/>
        </w:rPr>
        <w:t>当前有酒精或苯二氮䓬戒断症状</w:t>
      </w:r>
    </w:p>
    <w:p>
      <w:pPr>
        <w:pStyle w:val="ListBullet2"/>
        <w:spacing w:after="40" w:line="360" w:lineRule="auto"/>
      </w:pPr>
      <w:r>
        <w:rPr>
          <w:rFonts w:ascii="微软雅黑" w:hAnsi="微软雅黑" w:eastAsia="微软雅黑"/>
          <w:b w:val="0"/>
          <w:sz w:val="21"/>
        </w:rPr>
        <w:t>心肌梗死、CABG、CHF 或其他心脏病史</w:t>
      </w:r>
    </w:p>
    <w:p>
      <w:pPr>
        <w:pStyle w:val="ListBullet2"/>
        <w:spacing w:after="40" w:line="360" w:lineRule="auto"/>
      </w:pPr>
      <w:r>
        <w:rPr>
          <w:rFonts w:ascii="微软雅黑" w:hAnsi="微软雅黑" w:eastAsia="微软雅黑"/>
          <w:b w:val="0"/>
          <w:sz w:val="21"/>
        </w:rPr>
        <w:t>慢性烟民（终生 &gt; 100 支且过去 7 天每天吸烟）</w:t>
      </w:r>
    </w:p>
    <w:p>
      <w:pPr>
        <w:pStyle w:val="ListBullet2"/>
        <w:spacing w:after="40" w:line="360" w:lineRule="auto"/>
      </w:pPr>
      <w:r>
        <w:rPr>
          <w:rFonts w:ascii="微软雅黑" w:hAnsi="微软雅黑" w:eastAsia="微软雅黑"/>
          <w:b w:val="0"/>
          <w:sz w:val="21"/>
        </w:rPr>
        <w:t>孕期、哺乳期、试图怀孕/哺乳</w:t>
      </w:r>
    </w:p>
    <w:p>
      <w:pPr>
        <w:spacing w:after="80" w:line="360" w:lineRule="auto"/>
      </w:pPr>
      <w:r>
        <w:rPr>
          <w:rFonts w:ascii="微软雅黑" w:hAnsi="微软雅黑" w:eastAsia="微软雅黑"/>
          <w:b/>
          <w:sz w:val="21"/>
        </w:rPr>
        <w:t>研究执行相关（5 条）</w:t>
      </w:r>
    </w:p>
    <w:p>
      <w:pPr>
        <w:pStyle w:val="ListBullet2"/>
        <w:spacing w:after="40" w:line="360" w:lineRule="auto"/>
      </w:pPr>
      <w:r>
        <w:rPr>
          <w:rFonts w:ascii="微软雅黑" w:hAnsi="微软雅黑" w:eastAsia="微软雅黑"/>
          <w:b w:val="0"/>
          <w:sz w:val="21"/>
        </w:rPr>
        <w:t>当前为囚犯</w:t>
      </w:r>
    </w:p>
    <w:p>
      <w:pPr>
        <w:pStyle w:val="ListBullet2"/>
        <w:spacing w:after="40" w:line="360" w:lineRule="auto"/>
      </w:pPr>
      <w:r>
        <w:rPr>
          <w:rFonts w:ascii="微软雅黑" w:hAnsi="微软雅黑" w:eastAsia="微软雅黑"/>
          <w:b w:val="0"/>
          <w:sz w:val="21"/>
        </w:rPr>
        <w:t>正参与或过去 90 天参与过其他临床试验（可能干扰结果）</w:t>
      </w:r>
    </w:p>
    <w:p>
      <w:pPr>
        <w:pStyle w:val="ListBullet2"/>
        <w:spacing w:after="40" w:line="360" w:lineRule="auto"/>
      </w:pPr>
      <w:r>
        <w:rPr>
          <w:rFonts w:ascii="微软雅黑" w:hAnsi="微软雅黑" w:eastAsia="微软雅黑"/>
          <w:b w:val="0"/>
          <w:sz w:val="21"/>
        </w:rPr>
        <w:t>任何可能影响随访完成或 App 自评的医学/环境情况</w:t>
      </w:r>
    </w:p>
    <w:p>
      <w:pPr>
        <w:pStyle w:val="ListBullet2"/>
        <w:spacing w:after="40" w:line="360" w:lineRule="auto"/>
      </w:pPr>
      <w:r>
        <w:rPr>
          <w:rFonts w:ascii="微软雅黑" w:hAnsi="微软雅黑" w:eastAsia="微软雅黑"/>
          <w:b w:val="0"/>
          <w:sz w:val="21"/>
        </w:rPr>
        <w:t>研究者判断影响装置安全/性能评估的任何情况</w:t>
      </w:r>
    </w:p>
    <w:p>
      <w:pPr>
        <w:pStyle w:val="ListBullet2"/>
        <w:spacing w:after="40" w:line="360" w:lineRule="auto"/>
      </w:pPr>
      <w:r>
        <w:rPr>
          <w:rFonts w:ascii="微软雅黑" w:hAnsi="微软雅黑" w:eastAsia="微软雅黑"/>
          <w:b w:val="0"/>
          <w:sz w:val="21"/>
        </w:rPr>
        <w:t>在试验期间违反排除标准者将退出研究</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**这份排除标准是全球 tDCS 治疗 MDD 三类审批级别的黄金标准**。Starstim 中国方案可直接复制 90% 以上条目；针对中国特色补充：（1）明确排除 TRD（依瑞德 CCY-IV 三类证也采取相同策略）；（2）明确"神经调控史阳性排除"以避免污染；（3）建议再加"HAMD 之外配合 CGI-S 与 CGI-I 评估"以符合国内精神科惯例。</w:t>
      </w:r>
    </w:p>
    <w:p>
      <w:pPr>
        <w:spacing w:before="240" w:after="120"/>
      </w:pPr>
      <w:r>
        <w:rPr>
          <w:rFonts w:ascii="微软雅黑" w:hAnsi="微软雅黑" w:eastAsia="微软雅黑"/>
          <w:b/>
          <w:color w:val="365F91"/>
          <w:sz w:val="27"/>
        </w:rPr>
        <w:t>3.5 访视计划（Schedule of Procedures）</w:t>
      </w:r>
    </w:p>
    <w:tbl>
      <w:tblPr>
        <w:tblStyle w:val="LightGrid-Accent1"/>
        <w:tblW w:type="auto" w:w="0"/>
        <w:jc w:val="center"/>
        <w:tblLook w:firstColumn="1" w:firstRow="1" w:lastColumn="0" w:lastRow="0" w:noHBand="0" w:noVBand="1" w:val="04A0"/>
      </w:tblPr>
      <w:tblGrid>
        <w:gridCol w:w="4703"/>
        <w:gridCol w:w="4703"/>
      </w:tblGrid>
      <w:tr>
        <w:tc>
          <w:tcPr>
            <w:tcW w:type="dxa" w:w="2835"/>
            <w:shd w:val="clear" w:color="auto" w:fill="1F497D"/>
            <w:vAlign w:val="center"/>
          </w:tcPr>
          <w:p>
            <w:pPr>
              <w:jc w:val="center"/>
            </w:pPr>
            <w:r/>
            <w:r>
              <w:rPr>
                <w:rFonts w:ascii="微软雅黑" w:hAnsi="微软雅黑" w:eastAsia="微软雅黑"/>
                <w:b/>
                <w:color w:val="FFFFFF"/>
                <w:sz w:val="20"/>
              </w:rPr>
              <w:t>访视时点</w:t>
            </w:r>
          </w:p>
        </w:tc>
        <w:tc>
          <w:tcPr>
            <w:tcW w:type="dxa" w:w="6236"/>
            <w:shd w:val="clear" w:color="auto" w:fill="1F497D"/>
            <w:vAlign w:val="center"/>
          </w:tcPr>
          <w:p>
            <w:pPr>
              <w:jc w:val="center"/>
            </w:pPr>
            <w:r/>
            <w:r>
              <w:rPr>
                <w:rFonts w:ascii="微软雅黑" w:hAnsi="微软雅黑" w:eastAsia="微软雅黑"/>
                <w:b/>
                <w:color w:val="FFFFFF"/>
                <w:sz w:val="20"/>
              </w:rPr>
              <w:t>关键流程/量表</w:t>
            </w:r>
          </w:p>
        </w:tc>
      </w:tr>
      <w:tr>
        <w:tc>
          <w:tcPr>
            <w:tcW w:type="dxa" w:w="2835"/>
            <w:vAlign w:val="center"/>
          </w:tcPr>
          <w:p>
            <w:pPr>
              <w:jc w:val="left"/>
            </w:pPr>
            <w:r/>
            <w:r>
              <w:rPr>
                <w:rFonts w:ascii="微软雅黑" w:hAnsi="微软雅黑" w:eastAsia="微软雅黑"/>
                <w:b w:val="0"/>
                <w:sz w:val="19"/>
              </w:rPr>
              <w:t>筛选/基线（Wk -3 to -1）</w:t>
            </w:r>
          </w:p>
        </w:tc>
        <w:tc>
          <w:tcPr>
            <w:tcW w:type="dxa" w:w="6236"/>
            <w:vAlign w:val="center"/>
          </w:tcPr>
          <w:p>
            <w:pPr>
              <w:jc w:val="left"/>
            </w:pPr>
            <w:r/>
            <w:r>
              <w:rPr>
                <w:rFonts w:ascii="微软雅黑" w:hAnsi="微软雅黑" w:eastAsia="微软雅黑"/>
                <w:b w:val="0"/>
                <w:sz w:val="19"/>
              </w:rPr>
              <w:t>知情同意、筛选视频访谈、MDD 诊断评估、HDRS-17、MADRS、C-SSRS、YMRS、HAM-A、EQ-5D-3L、RAVLT、TAQ、既往药物记录</w:t>
            </w:r>
          </w:p>
        </w:tc>
      </w:tr>
      <w:tr>
        <w:tc>
          <w:tcPr>
            <w:tcW w:type="dxa" w:w="2835"/>
            <w:vAlign w:val="center"/>
          </w:tcPr>
          <w:p>
            <w:pPr>
              <w:jc w:val="left"/>
            </w:pPr>
            <w:r/>
            <w:r>
              <w:rPr>
                <w:rFonts w:ascii="微软雅黑" w:hAnsi="微软雅黑" w:eastAsia="微软雅黑"/>
                <w:b w:val="0"/>
                <w:sz w:val="19"/>
              </w:rPr>
              <w:t>Week 0（随机）</w:t>
            </w:r>
          </w:p>
        </w:tc>
        <w:tc>
          <w:tcPr>
            <w:tcW w:type="dxa" w:w="6236"/>
            <w:vAlign w:val="center"/>
          </w:tcPr>
          <w:p>
            <w:pPr>
              <w:jc w:val="left"/>
            </w:pPr>
            <w:r/>
            <w:r>
              <w:rPr>
                <w:rFonts w:ascii="微软雅黑" w:hAnsi="微软雅黑" w:eastAsia="微软雅黑"/>
                <w:b w:val="0"/>
                <w:sz w:val="19"/>
              </w:rPr>
              <w:t>随机化、技术上机指导、初诊访视、MADRS-s（App 自评）、AE 记录开始</w:t>
            </w:r>
          </w:p>
        </w:tc>
      </w:tr>
      <w:tr>
        <w:tc>
          <w:tcPr>
            <w:tcW w:type="dxa" w:w="2835"/>
            <w:vAlign w:val="center"/>
          </w:tcPr>
          <w:p>
            <w:pPr>
              <w:jc w:val="left"/>
            </w:pPr>
            <w:r/>
            <w:r>
              <w:rPr>
                <w:rFonts w:ascii="微软雅黑" w:hAnsi="微软雅黑" w:eastAsia="微软雅黑"/>
                <w:b w:val="0"/>
                <w:sz w:val="19"/>
              </w:rPr>
              <w:t>Week 1（±3d）</w:t>
            </w:r>
          </w:p>
        </w:tc>
        <w:tc>
          <w:tcPr>
            <w:tcW w:type="dxa" w:w="6236"/>
            <w:vAlign w:val="center"/>
          </w:tcPr>
          <w:p>
            <w:pPr>
              <w:jc w:val="left"/>
            </w:pPr>
            <w:r/>
            <w:r>
              <w:rPr>
                <w:rFonts w:ascii="微软雅黑" w:hAnsi="微软雅黑" w:eastAsia="微软雅黑"/>
                <w:b w:val="0"/>
                <w:sz w:val="19"/>
              </w:rPr>
              <w:t>HDRS-17、MADRS、MADRS-s、C-SSRS、YMRS、AE、合并用药</w:t>
            </w:r>
          </w:p>
        </w:tc>
      </w:tr>
      <w:tr>
        <w:tc>
          <w:tcPr>
            <w:tcW w:type="dxa" w:w="2835"/>
            <w:vAlign w:val="center"/>
          </w:tcPr>
          <w:p>
            <w:pPr>
              <w:jc w:val="left"/>
            </w:pPr>
            <w:r/>
            <w:r>
              <w:rPr>
                <w:rFonts w:ascii="微软雅黑" w:hAnsi="微软雅黑" w:eastAsia="微软雅黑"/>
                <w:b w:val="0"/>
                <w:sz w:val="19"/>
              </w:rPr>
              <w:t>Week 4（±3d）</w:t>
            </w:r>
          </w:p>
        </w:tc>
        <w:tc>
          <w:tcPr>
            <w:tcW w:type="dxa" w:w="6236"/>
            <w:vAlign w:val="center"/>
          </w:tcPr>
          <w:p>
            <w:pPr>
              <w:jc w:val="left"/>
            </w:pPr>
            <w:r/>
            <w:r>
              <w:rPr>
                <w:rFonts w:ascii="微软雅黑" w:hAnsi="微软雅黑" w:eastAsia="微软雅黑"/>
                <w:b w:val="0"/>
                <w:sz w:val="19"/>
              </w:rPr>
              <w:t>HDRS-17、MADRS、MADRS-s、C-SSRS、YMRS、AE、合并用药</w:t>
            </w:r>
          </w:p>
        </w:tc>
      </w:tr>
      <w:tr>
        <w:tc>
          <w:tcPr>
            <w:tcW w:type="dxa" w:w="2835"/>
            <w:vAlign w:val="center"/>
          </w:tcPr>
          <w:p>
            <w:pPr>
              <w:jc w:val="left"/>
            </w:pPr>
            <w:r/>
            <w:r>
              <w:rPr>
                <w:rFonts w:ascii="微软雅黑" w:hAnsi="微软雅黑" w:eastAsia="微软雅黑"/>
                <w:b w:val="0"/>
                <w:sz w:val="19"/>
              </w:rPr>
              <w:t>Week 7（±3d）</w:t>
            </w:r>
          </w:p>
        </w:tc>
        <w:tc>
          <w:tcPr>
            <w:tcW w:type="dxa" w:w="6236"/>
            <w:vAlign w:val="center"/>
          </w:tcPr>
          <w:p>
            <w:pPr>
              <w:jc w:val="left"/>
            </w:pPr>
            <w:r/>
            <w:r>
              <w:rPr>
                <w:rFonts w:ascii="微软雅黑" w:hAnsi="微软雅黑" w:eastAsia="微软雅黑"/>
                <w:b w:val="0"/>
                <w:sz w:val="19"/>
              </w:rPr>
              <w:t>HDRS-17、MADRS、MADRS-s、C-SSRS、YMRS、AE、合并用药</w:t>
            </w:r>
          </w:p>
        </w:tc>
      </w:tr>
      <w:tr>
        <w:tc>
          <w:tcPr>
            <w:tcW w:type="dxa" w:w="2835"/>
            <w:vAlign w:val="center"/>
          </w:tcPr>
          <w:p>
            <w:pPr>
              <w:jc w:val="left"/>
            </w:pPr>
            <w:r/>
            <w:r>
              <w:rPr>
                <w:rFonts w:ascii="微软雅黑" w:hAnsi="微软雅黑" w:eastAsia="微软雅黑"/>
                <w:b w:val="0"/>
                <w:sz w:val="19"/>
              </w:rPr>
              <w:t>**Week 10（±3d，主要终点访视）**</w:t>
            </w:r>
          </w:p>
        </w:tc>
        <w:tc>
          <w:tcPr>
            <w:tcW w:type="dxa" w:w="6236"/>
            <w:vAlign w:val="center"/>
          </w:tcPr>
          <w:p>
            <w:pPr>
              <w:jc w:val="left"/>
            </w:pPr>
            <w:r/>
            <w:r>
              <w:rPr>
                <w:rFonts w:ascii="微软雅黑" w:hAnsi="微软雅黑" w:eastAsia="微软雅黑"/>
                <w:b w:val="0"/>
                <w:sz w:val="19"/>
              </w:rPr>
              <w:t>HDRS-17、MADRS、MADRS-s、C-SSRS、YMRS、HAM-A、EQ-5D-3L、RAVLT、TAQ、AEQ、Healthcare Visit Survey、盲态揭盲</w:t>
            </w:r>
          </w:p>
        </w:tc>
      </w:tr>
      <w:tr>
        <w:tc>
          <w:tcPr>
            <w:tcW w:type="dxa" w:w="2835"/>
            <w:vAlign w:val="center"/>
          </w:tcPr>
          <w:p>
            <w:pPr>
              <w:jc w:val="left"/>
            </w:pPr>
            <w:r/>
            <w:r>
              <w:rPr>
                <w:rFonts w:ascii="微软雅黑" w:hAnsi="微软雅黑" w:eastAsia="微软雅黑"/>
                <w:b w:val="0"/>
                <w:sz w:val="19"/>
              </w:rPr>
              <w:t>Week 10 开放标签期开始</w:t>
            </w:r>
          </w:p>
        </w:tc>
        <w:tc>
          <w:tcPr>
            <w:tcW w:type="dxa" w:w="6236"/>
            <w:vAlign w:val="center"/>
          </w:tcPr>
          <w:p>
            <w:pPr>
              <w:jc w:val="left"/>
            </w:pPr>
            <w:r/>
            <w:r>
              <w:rPr>
                <w:rFonts w:ascii="微软雅黑" w:hAnsi="微软雅黑" w:eastAsia="微软雅黑"/>
                <w:b w:val="0"/>
                <w:sz w:val="19"/>
              </w:rPr>
              <w:t>揭盲：Sham 组开始 Active；Active 组继续 3 次/周维持治疗</w:t>
            </w:r>
          </w:p>
        </w:tc>
      </w:tr>
      <w:tr>
        <w:tc>
          <w:tcPr>
            <w:tcW w:type="dxa" w:w="2835"/>
            <w:vAlign w:val="center"/>
          </w:tcPr>
          <w:p>
            <w:pPr>
              <w:jc w:val="left"/>
            </w:pPr>
            <w:r/>
            <w:r>
              <w:rPr>
                <w:rFonts w:ascii="微软雅黑" w:hAnsi="微软雅黑" w:eastAsia="微软雅黑"/>
                <w:b w:val="0"/>
                <w:sz w:val="19"/>
              </w:rPr>
              <w:t>Week 20（±3d，试验结束）</w:t>
            </w:r>
          </w:p>
        </w:tc>
        <w:tc>
          <w:tcPr>
            <w:tcW w:type="dxa" w:w="6236"/>
            <w:vAlign w:val="center"/>
          </w:tcPr>
          <w:p>
            <w:pPr>
              <w:jc w:val="left"/>
            </w:pPr>
            <w:r/>
            <w:r>
              <w:rPr>
                <w:rFonts w:ascii="微软雅黑" w:hAnsi="微软雅黑" w:eastAsia="微软雅黑"/>
                <w:b w:val="0"/>
                <w:sz w:val="19"/>
              </w:rPr>
              <w:t>重复主要终点访视的全部量表</w:t>
            </w:r>
          </w:p>
        </w:tc>
      </w:tr>
      <w:tr>
        <w:tc>
          <w:tcPr>
            <w:tcW w:type="dxa" w:w="2835"/>
            <w:vAlign w:val="center"/>
          </w:tcPr>
          <w:p>
            <w:pPr>
              <w:jc w:val="left"/>
            </w:pPr>
            <w:r/>
            <w:r>
              <w:rPr>
                <w:rFonts w:ascii="微软雅黑" w:hAnsi="微软雅黑" w:eastAsia="微软雅黑"/>
                <w:b w:val="0"/>
                <w:sz w:val="19"/>
              </w:rPr>
              <w:t>提前终止（Weeks 1-20）</w:t>
            </w:r>
          </w:p>
        </w:tc>
        <w:tc>
          <w:tcPr>
            <w:tcW w:type="dxa" w:w="6236"/>
            <w:vAlign w:val="center"/>
          </w:tcPr>
          <w:p>
            <w:pPr>
              <w:jc w:val="left"/>
            </w:pPr>
            <w:r/>
            <w:r>
              <w:rPr>
                <w:rFonts w:ascii="微软雅黑" w:hAnsi="微软雅黑" w:eastAsia="微软雅黑"/>
                <w:b w:val="0"/>
                <w:sz w:val="19"/>
              </w:rPr>
              <w:t>重复主要访视全部量表 + 中止访谈（可选）</w:t>
            </w:r>
          </w:p>
        </w:tc>
      </w:tr>
    </w:tbl>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中国方案可采用同样的访视密度（6 次评估：基线/Wk1/4/7/10/20），符合 CDE 对精神科三类临床的标准要求。建议加入 CGI-S/CGI-I 量表（中国精神科惯用）。</w:t>
      </w:r>
    </w:p>
    <w:p>
      <w:pPr>
        <w:spacing w:before="240" w:after="120"/>
      </w:pPr>
      <w:r>
        <w:rPr>
          <w:rFonts w:ascii="微软雅黑" w:hAnsi="微软雅黑" w:eastAsia="微软雅黑"/>
          <w:b/>
          <w:color w:val="365F91"/>
          <w:sz w:val="27"/>
        </w:rPr>
        <w:t>3.6 评价指标（Endpoints）</w:t>
      </w:r>
    </w:p>
    <w:p>
      <w:pPr>
        <w:spacing w:before="240" w:after="120"/>
      </w:pPr>
      <w:r>
        <w:rPr>
          <w:rFonts w:ascii="微软雅黑" w:hAnsi="微软雅黑" w:eastAsia="微软雅黑"/>
          <w:b/>
          <w:color w:val="447294"/>
          <w:sz w:val="24"/>
        </w:rPr>
        <w:t>主要终点</w:t>
      </w:r>
    </w:p>
    <w:p>
      <w:pPr>
        <w:spacing w:after="80" w:line="360" w:lineRule="auto"/>
        <w:ind w:firstLine="420"/>
      </w:pPr>
      <w:r>
        <w:rPr>
          <w:rFonts w:ascii="微软雅黑" w:hAnsi="微软雅黑" w:eastAsia="微软雅黑"/>
          <w:b w:val="0"/>
          <w:color w:val="C00000"/>
          <w:sz w:val="21"/>
        </w:rPr>
        <w:t>**Week 10 时，Active vs Sham 组间 HDRS-17 均分改变量的调整后差值（Adjusted mean group difference）**</w:t>
      </w:r>
    </w:p>
    <w:p>
      <w:pPr>
        <w:spacing w:after="80" w:line="360" w:lineRule="auto"/>
        <w:ind w:firstLine="420"/>
      </w:pPr>
      <w:r>
        <w:rPr>
          <w:rFonts w:ascii="微软雅黑" w:hAnsi="微软雅黑" w:eastAsia="微软雅黑"/>
          <w:b w:val="0"/>
          <w:sz w:val="21"/>
        </w:rPr>
        <w:t>统计假设：H0：d_flow - d_sham ≤ 0；Ha：d_flow - d_sham &gt; 0（单侧检验，α = 0.025）</w:t>
      </w:r>
    </w:p>
    <w:p>
      <w:pPr>
        <w:spacing w:before="240" w:after="120"/>
      </w:pPr>
      <w:r>
        <w:rPr>
          <w:rFonts w:ascii="微软雅黑" w:hAnsi="微软雅黑" w:eastAsia="微软雅黑"/>
          <w:b/>
          <w:color w:val="447294"/>
          <w:sz w:val="24"/>
        </w:rPr>
        <w:t>次要终点（9 项）</w:t>
      </w:r>
    </w:p>
    <w:tbl>
      <w:tblPr>
        <w:tblStyle w:val="LightGrid-Accent1"/>
        <w:tblW w:type="auto" w:w="0"/>
        <w:jc w:val="center"/>
        <w:tblLook w:firstColumn="1" w:firstRow="1" w:lastColumn="0" w:lastRow="0" w:noHBand="0" w:noVBand="1" w:val="04A0"/>
      </w:tblPr>
      <w:tblGrid>
        <w:gridCol w:w="3135"/>
        <w:gridCol w:w="3135"/>
        <w:gridCol w:w="3135"/>
      </w:tblGrid>
      <w:tr>
        <w:tc>
          <w:tcPr>
            <w:tcW w:type="dxa" w:w="850"/>
            <w:shd w:val="clear" w:color="auto" w:fill="1F497D"/>
            <w:vAlign w:val="center"/>
          </w:tcPr>
          <w:p>
            <w:pPr>
              <w:jc w:val="center"/>
            </w:pPr>
            <w:r/>
            <w:r>
              <w:rPr>
                <w:rFonts w:ascii="微软雅黑" w:hAnsi="微软雅黑" w:eastAsia="微软雅黑"/>
                <w:b/>
                <w:color w:val="FFFFFF"/>
                <w:sz w:val="20"/>
              </w:rPr>
              <w:t>编号</w:t>
            </w:r>
          </w:p>
        </w:tc>
        <w:tc>
          <w:tcPr>
            <w:tcW w:type="dxa" w:w="5953"/>
            <w:shd w:val="clear" w:color="auto" w:fill="1F497D"/>
            <w:vAlign w:val="center"/>
          </w:tcPr>
          <w:p>
            <w:pPr>
              <w:jc w:val="center"/>
            </w:pPr>
            <w:r/>
            <w:r>
              <w:rPr>
                <w:rFonts w:ascii="微软雅黑" w:hAnsi="微软雅黑" w:eastAsia="微软雅黑"/>
                <w:b/>
                <w:color w:val="FFFFFF"/>
                <w:sz w:val="20"/>
              </w:rPr>
              <w:t>内容</w:t>
            </w:r>
          </w:p>
        </w:tc>
        <w:tc>
          <w:tcPr>
            <w:tcW w:type="dxa" w:w="2268"/>
            <w:shd w:val="clear" w:color="auto" w:fill="1F497D"/>
            <w:vAlign w:val="center"/>
          </w:tcPr>
          <w:p>
            <w:pPr>
              <w:jc w:val="center"/>
            </w:pPr>
            <w:r/>
            <w:r>
              <w:rPr>
                <w:rFonts w:ascii="微软雅黑" w:hAnsi="微软雅黑" w:eastAsia="微软雅黑"/>
                <w:b/>
                <w:color w:val="FFFFFF"/>
                <w:sz w:val="20"/>
              </w:rPr>
              <w:t>备注</w:t>
            </w:r>
          </w:p>
        </w:tc>
      </w:tr>
      <w:tr>
        <w:tc>
          <w:tcPr>
            <w:tcW w:type="dxa" w:w="850"/>
            <w:vAlign w:val="center"/>
          </w:tcPr>
          <w:p>
            <w:pPr>
              <w:jc w:val="left"/>
            </w:pPr>
            <w:r/>
            <w:r>
              <w:rPr>
                <w:rFonts w:ascii="微软雅黑" w:hAnsi="微软雅黑" w:eastAsia="微软雅黑"/>
                <w:b w:val="0"/>
                <w:sz w:val="19"/>
              </w:rPr>
              <w:t>1a</w:t>
            </w:r>
          </w:p>
        </w:tc>
        <w:tc>
          <w:tcPr>
            <w:tcW w:type="dxa" w:w="5953"/>
            <w:vAlign w:val="center"/>
          </w:tcPr>
          <w:p>
            <w:pPr>
              <w:jc w:val="left"/>
            </w:pPr>
            <w:r/>
            <w:r>
              <w:rPr>
                <w:rFonts w:ascii="微软雅黑" w:hAnsi="微软雅黑" w:eastAsia="微软雅黑"/>
                <w:b w:val="0"/>
                <w:sz w:val="19"/>
              </w:rPr>
              <w:t>Week 10 HDRS-17 组间应答率差异</w:t>
            </w:r>
          </w:p>
        </w:tc>
        <w:tc>
          <w:tcPr>
            <w:tcW w:type="dxa" w:w="2268"/>
            <w:vAlign w:val="center"/>
          </w:tcPr>
          <w:p>
            <w:pPr>
              <w:jc w:val="left"/>
            </w:pPr>
            <w:r/>
            <w:r>
              <w:rPr>
                <w:rFonts w:ascii="微软雅黑" w:hAnsi="微软雅黑" w:eastAsia="微软雅黑"/>
                <w:b w:val="0"/>
                <w:sz w:val="19"/>
              </w:rPr>
              <w:t>入 Hochberg 多重性控制</w:t>
            </w:r>
          </w:p>
        </w:tc>
      </w:tr>
      <w:tr>
        <w:tc>
          <w:tcPr>
            <w:tcW w:type="dxa" w:w="850"/>
            <w:vAlign w:val="center"/>
          </w:tcPr>
          <w:p>
            <w:pPr>
              <w:jc w:val="left"/>
            </w:pPr>
            <w:r/>
            <w:r>
              <w:rPr>
                <w:rFonts w:ascii="微软雅黑" w:hAnsi="微软雅黑" w:eastAsia="微软雅黑"/>
                <w:b w:val="0"/>
                <w:sz w:val="19"/>
              </w:rPr>
              <w:t>1b</w:t>
            </w:r>
          </w:p>
        </w:tc>
        <w:tc>
          <w:tcPr>
            <w:tcW w:type="dxa" w:w="5953"/>
            <w:vAlign w:val="center"/>
          </w:tcPr>
          <w:p>
            <w:pPr>
              <w:jc w:val="left"/>
            </w:pPr>
            <w:r/>
            <w:r>
              <w:rPr>
                <w:rFonts w:ascii="微软雅黑" w:hAnsi="微软雅黑" w:eastAsia="微软雅黑"/>
                <w:b w:val="0"/>
                <w:sz w:val="19"/>
              </w:rPr>
              <w:t>Week 10 HDRS-17 组间缓解率差异</w:t>
            </w:r>
          </w:p>
        </w:tc>
        <w:tc>
          <w:tcPr>
            <w:tcW w:type="dxa" w:w="2268"/>
            <w:vAlign w:val="center"/>
          </w:tcPr>
          <w:p>
            <w:pPr>
              <w:jc w:val="left"/>
            </w:pPr>
            <w:r/>
            <w:r>
              <w:rPr>
                <w:rFonts w:ascii="微软雅黑" w:hAnsi="微软雅黑" w:eastAsia="微软雅黑"/>
                <w:b w:val="0"/>
                <w:sz w:val="19"/>
              </w:rPr>
              <w:t>入 Hochberg 多重性控制</w:t>
            </w:r>
          </w:p>
        </w:tc>
      </w:tr>
      <w:tr>
        <w:tc>
          <w:tcPr>
            <w:tcW w:type="dxa" w:w="850"/>
            <w:vAlign w:val="center"/>
          </w:tcPr>
          <w:p>
            <w:pPr>
              <w:jc w:val="left"/>
            </w:pPr>
            <w:r/>
            <w:r>
              <w:rPr>
                <w:rFonts w:ascii="微软雅黑" w:hAnsi="微软雅黑" w:eastAsia="微软雅黑"/>
                <w:b w:val="0"/>
                <w:sz w:val="19"/>
              </w:rPr>
              <w:t>2a</w:t>
            </w:r>
          </w:p>
        </w:tc>
        <w:tc>
          <w:tcPr>
            <w:tcW w:type="dxa" w:w="5953"/>
            <w:vAlign w:val="center"/>
          </w:tcPr>
          <w:p>
            <w:pPr>
              <w:jc w:val="left"/>
            </w:pPr>
            <w:r/>
            <w:r>
              <w:rPr>
                <w:rFonts w:ascii="微软雅黑" w:hAnsi="微软雅黑" w:eastAsia="微软雅黑"/>
                <w:b w:val="0"/>
                <w:sz w:val="19"/>
              </w:rPr>
              <w:t>Week 10 MADRS 均分改变差异</w:t>
            </w:r>
          </w:p>
        </w:tc>
        <w:tc>
          <w:tcPr>
            <w:tcW w:type="dxa" w:w="2268"/>
            <w:vAlign w:val="center"/>
          </w:tcPr>
          <w:p>
            <w:pPr>
              <w:jc w:val="left"/>
            </w:pPr>
            <w:r/>
            <w:r>
              <w:rPr>
                <w:rFonts w:ascii="微软雅黑" w:hAnsi="微软雅黑" w:eastAsia="微软雅黑"/>
                <w:b w:val="0"/>
                <w:sz w:val="19"/>
              </w:rPr>
            </w:r>
          </w:p>
        </w:tc>
      </w:tr>
      <w:tr>
        <w:tc>
          <w:tcPr>
            <w:tcW w:type="dxa" w:w="850"/>
            <w:vAlign w:val="center"/>
          </w:tcPr>
          <w:p>
            <w:pPr>
              <w:jc w:val="left"/>
            </w:pPr>
            <w:r/>
            <w:r>
              <w:rPr>
                <w:rFonts w:ascii="微软雅黑" w:hAnsi="微软雅黑" w:eastAsia="微软雅黑"/>
                <w:b w:val="0"/>
                <w:sz w:val="19"/>
              </w:rPr>
              <w:t>2b</w:t>
            </w:r>
          </w:p>
        </w:tc>
        <w:tc>
          <w:tcPr>
            <w:tcW w:type="dxa" w:w="5953"/>
            <w:vAlign w:val="center"/>
          </w:tcPr>
          <w:p>
            <w:pPr>
              <w:jc w:val="left"/>
            </w:pPr>
            <w:r/>
            <w:r>
              <w:rPr>
                <w:rFonts w:ascii="微软雅黑" w:hAnsi="微软雅黑" w:eastAsia="微软雅黑"/>
                <w:b w:val="0"/>
                <w:sz w:val="19"/>
              </w:rPr>
              <w:t>Week 10 MADRS 组间应答率差异</w:t>
            </w:r>
          </w:p>
        </w:tc>
        <w:tc>
          <w:tcPr>
            <w:tcW w:type="dxa" w:w="2268"/>
            <w:vAlign w:val="center"/>
          </w:tcPr>
          <w:p>
            <w:pPr>
              <w:jc w:val="left"/>
            </w:pPr>
            <w:r/>
            <w:r>
              <w:rPr>
                <w:rFonts w:ascii="微软雅黑" w:hAnsi="微软雅黑" w:eastAsia="微软雅黑"/>
                <w:b w:val="0"/>
                <w:sz w:val="19"/>
              </w:rPr>
            </w:r>
          </w:p>
        </w:tc>
      </w:tr>
      <w:tr>
        <w:tc>
          <w:tcPr>
            <w:tcW w:type="dxa" w:w="850"/>
            <w:vAlign w:val="center"/>
          </w:tcPr>
          <w:p>
            <w:pPr>
              <w:jc w:val="left"/>
            </w:pPr>
            <w:r/>
            <w:r>
              <w:rPr>
                <w:rFonts w:ascii="微软雅黑" w:hAnsi="微软雅黑" w:eastAsia="微软雅黑"/>
                <w:b w:val="0"/>
                <w:sz w:val="19"/>
              </w:rPr>
              <w:t>2c</w:t>
            </w:r>
          </w:p>
        </w:tc>
        <w:tc>
          <w:tcPr>
            <w:tcW w:type="dxa" w:w="5953"/>
            <w:vAlign w:val="center"/>
          </w:tcPr>
          <w:p>
            <w:pPr>
              <w:jc w:val="left"/>
            </w:pPr>
            <w:r/>
            <w:r>
              <w:rPr>
                <w:rFonts w:ascii="微软雅黑" w:hAnsi="微软雅黑" w:eastAsia="微软雅黑"/>
                <w:b w:val="0"/>
                <w:sz w:val="19"/>
              </w:rPr>
              <w:t>Week 10 MADRS 组间缓解率差异</w:t>
            </w:r>
          </w:p>
        </w:tc>
        <w:tc>
          <w:tcPr>
            <w:tcW w:type="dxa" w:w="2268"/>
            <w:vAlign w:val="center"/>
          </w:tcPr>
          <w:p>
            <w:pPr>
              <w:jc w:val="left"/>
            </w:pPr>
            <w:r/>
            <w:r>
              <w:rPr>
                <w:rFonts w:ascii="微软雅黑" w:hAnsi="微软雅黑" w:eastAsia="微软雅黑"/>
                <w:b w:val="0"/>
                <w:sz w:val="19"/>
              </w:rPr>
            </w:r>
          </w:p>
        </w:tc>
      </w:tr>
      <w:tr>
        <w:tc>
          <w:tcPr>
            <w:tcW w:type="dxa" w:w="850"/>
            <w:vAlign w:val="center"/>
          </w:tcPr>
          <w:p>
            <w:pPr>
              <w:jc w:val="left"/>
            </w:pPr>
            <w:r/>
            <w:r>
              <w:rPr>
                <w:rFonts w:ascii="微软雅黑" w:hAnsi="微软雅黑" w:eastAsia="微软雅黑"/>
                <w:b w:val="0"/>
                <w:sz w:val="19"/>
              </w:rPr>
              <w:t>3a</w:t>
            </w:r>
          </w:p>
        </w:tc>
        <w:tc>
          <w:tcPr>
            <w:tcW w:type="dxa" w:w="5953"/>
            <w:vAlign w:val="center"/>
          </w:tcPr>
          <w:p>
            <w:pPr>
              <w:jc w:val="left"/>
            </w:pPr>
            <w:r/>
            <w:r>
              <w:rPr>
                <w:rFonts w:ascii="微软雅黑" w:hAnsi="微软雅黑" w:eastAsia="微软雅黑"/>
                <w:b w:val="0"/>
                <w:sz w:val="19"/>
              </w:rPr>
              <w:t>Week 10 MADRS-s 均分改变差异</w:t>
            </w:r>
          </w:p>
        </w:tc>
        <w:tc>
          <w:tcPr>
            <w:tcW w:type="dxa" w:w="2268"/>
            <w:vAlign w:val="center"/>
          </w:tcPr>
          <w:p>
            <w:pPr>
              <w:jc w:val="left"/>
            </w:pPr>
            <w:r/>
            <w:r>
              <w:rPr>
                <w:rFonts w:ascii="微软雅黑" w:hAnsi="微软雅黑" w:eastAsia="微软雅黑"/>
                <w:b w:val="0"/>
                <w:sz w:val="19"/>
              </w:rPr>
            </w:r>
          </w:p>
        </w:tc>
      </w:tr>
      <w:tr>
        <w:tc>
          <w:tcPr>
            <w:tcW w:type="dxa" w:w="850"/>
            <w:vAlign w:val="center"/>
          </w:tcPr>
          <w:p>
            <w:pPr>
              <w:jc w:val="left"/>
            </w:pPr>
            <w:r/>
            <w:r>
              <w:rPr>
                <w:rFonts w:ascii="微软雅黑" w:hAnsi="微软雅黑" w:eastAsia="微软雅黑"/>
                <w:b w:val="0"/>
                <w:sz w:val="19"/>
              </w:rPr>
              <w:t>3b</w:t>
            </w:r>
          </w:p>
        </w:tc>
        <w:tc>
          <w:tcPr>
            <w:tcW w:type="dxa" w:w="5953"/>
            <w:vAlign w:val="center"/>
          </w:tcPr>
          <w:p>
            <w:pPr>
              <w:jc w:val="left"/>
            </w:pPr>
            <w:r/>
            <w:r>
              <w:rPr>
                <w:rFonts w:ascii="微软雅黑" w:hAnsi="微软雅黑" w:eastAsia="微软雅黑"/>
                <w:b w:val="0"/>
                <w:sz w:val="19"/>
              </w:rPr>
              <w:t>Week 10 MADRS-s 组间应答率差异</w:t>
            </w:r>
          </w:p>
        </w:tc>
        <w:tc>
          <w:tcPr>
            <w:tcW w:type="dxa" w:w="2268"/>
            <w:vAlign w:val="center"/>
          </w:tcPr>
          <w:p>
            <w:pPr>
              <w:jc w:val="left"/>
            </w:pPr>
            <w:r/>
            <w:r>
              <w:rPr>
                <w:rFonts w:ascii="微软雅黑" w:hAnsi="微软雅黑" w:eastAsia="微软雅黑"/>
                <w:b w:val="0"/>
                <w:sz w:val="19"/>
              </w:rPr>
            </w:r>
          </w:p>
        </w:tc>
      </w:tr>
      <w:tr>
        <w:tc>
          <w:tcPr>
            <w:tcW w:type="dxa" w:w="850"/>
            <w:vAlign w:val="center"/>
          </w:tcPr>
          <w:p>
            <w:pPr>
              <w:jc w:val="left"/>
            </w:pPr>
            <w:r/>
            <w:r>
              <w:rPr>
                <w:rFonts w:ascii="微软雅黑" w:hAnsi="微软雅黑" w:eastAsia="微软雅黑"/>
                <w:b w:val="0"/>
                <w:sz w:val="19"/>
              </w:rPr>
              <w:t>3c</w:t>
            </w:r>
          </w:p>
        </w:tc>
        <w:tc>
          <w:tcPr>
            <w:tcW w:type="dxa" w:w="5953"/>
            <w:vAlign w:val="center"/>
          </w:tcPr>
          <w:p>
            <w:pPr>
              <w:jc w:val="left"/>
            </w:pPr>
            <w:r/>
            <w:r>
              <w:rPr>
                <w:rFonts w:ascii="微软雅黑" w:hAnsi="微软雅黑" w:eastAsia="微软雅黑"/>
                <w:b w:val="0"/>
                <w:sz w:val="19"/>
              </w:rPr>
              <w:t>Week 10 MADRS-s 组间缓解率差异</w:t>
            </w:r>
          </w:p>
        </w:tc>
        <w:tc>
          <w:tcPr>
            <w:tcW w:type="dxa" w:w="2268"/>
            <w:vAlign w:val="center"/>
          </w:tcPr>
          <w:p>
            <w:pPr>
              <w:jc w:val="left"/>
            </w:pPr>
            <w:r/>
            <w:r>
              <w:rPr>
                <w:rFonts w:ascii="微软雅黑" w:hAnsi="微软雅黑" w:eastAsia="微软雅黑"/>
                <w:b w:val="0"/>
                <w:sz w:val="19"/>
              </w:rPr>
            </w:r>
          </w:p>
        </w:tc>
      </w:tr>
      <w:tr>
        <w:tc>
          <w:tcPr>
            <w:tcW w:type="dxa" w:w="850"/>
            <w:vAlign w:val="center"/>
          </w:tcPr>
          <w:p>
            <w:pPr>
              <w:jc w:val="left"/>
            </w:pPr>
            <w:r/>
            <w:r>
              <w:rPr>
                <w:rFonts w:ascii="微软雅黑" w:hAnsi="微软雅黑" w:eastAsia="微软雅黑"/>
                <w:b w:val="0"/>
                <w:sz w:val="19"/>
              </w:rPr>
              <w:t>4</w:t>
            </w:r>
          </w:p>
        </w:tc>
        <w:tc>
          <w:tcPr>
            <w:tcW w:type="dxa" w:w="5953"/>
            <w:vAlign w:val="center"/>
          </w:tcPr>
          <w:p>
            <w:pPr>
              <w:jc w:val="left"/>
            </w:pPr>
            <w:r/>
            <w:r>
              <w:rPr>
                <w:rFonts w:ascii="微软雅黑" w:hAnsi="微软雅黑" w:eastAsia="微软雅黑"/>
                <w:b w:val="0"/>
                <w:sz w:val="19"/>
              </w:rPr>
              <w:t>Week 10 EQ-5D-3L 生活质量改善差异</w:t>
            </w:r>
          </w:p>
        </w:tc>
        <w:tc>
          <w:tcPr>
            <w:tcW w:type="dxa" w:w="2268"/>
            <w:vAlign w:val="center"/>
          </w:tcPr>
          <w:p>
            <w:pPr>
              <w:jc w:val="left"/>
            </w:pPr>
            <w:r/>
            <w:r>
              <w:rPr>
                <w:rFonts w:ascii="微软雅黑" w:hAnsi="微软雅黑" w:eastAsia="微软雅黑"/>
                <w:b w:val="0"/>
                <w:sz w:val="19"/>
              </w:rPr>
              <w:t>入 Hochberg 多重性控制</w:t>
            </w:r>
          </w:p>
        </w:tc>
      </w:tr>
    </w:tbl>
    <w:p>
      <w:pPr>
        <w:spacing w:before="240" w:after="120"/>
      </w:pPr>
      <w:r>
        <w:rPr>
          <w:rFonts w:ascii="微软雅黑" w:hAnsi="微软雅黑" w:eastAsia="微软雅黑"/>
          <w:b/>
          <w:color w:val="447294"/>
          <w:sz w:val="24"/>
        </w:rPr>
        <w:t>关键定义</w:t>
      </w:r>
    </w:p>
    <w:p>
      <w:pPr>
        <w:pStyle w:val="ListBullet"/>
        <w:spacing w:after="40" w:line="360" w:lineRule="auto"/>
      </w:pPr>
      <w:r>
        <w:rPr>
          <w:rFonts w:ascii="微软雅黑" w:hAnsi="微软雅黑" w:eastAsia="微软雅黑"/>
          <w:b w:val="0"/>
          <w:sz w:val="21"/>
        </w:rPr>
        <w:t>应答（Response）：从基线到 Week 10 症状评分下降 ≥ 50%</w:t>
      </w:r>
    </w:p>
    <w:p>
      <w:pPr>
        <w:pStyle w:val="ListBullet"/>
        <w:spacing w:after="40" w:line="360" w:lineRule="auto"/>
      </w:pPr>
      <w:r>
        <w:rPr>
          <w:rFonts w:ascii="微软雅黑" w:hAnsi="微软雅黑" w:eastAsia="微软雅黑"/>
          <w:b w:val="0"/>
          <w:sz w:val="21"/>
        </w:rPr>
        <w:t>缓解（Remission）：Week 10 时 HDRS-17 ≤ 7；或 MADRS ≤ 10；或 MADRS-s ≤ 12</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中国方案的主要终点建议直接采用"Week 8 或 Week 10 HAMD-17 减分率"（或组间均分差异），这是国内精神科临床的标准。次要终点应保留 MADRS、CGI-I、生活质量量表（可改用中国常用的 SF-36 或 EQ-5D-5L）。</w:t>
      </w:r>
    </w:p>
    <w:p>
      <w:pPr>
        <w:spacing w:before="240" w:after="120"/>
      </w:pPr>
      <w:r>
        <w:rPr>
          <w:rFonts w:ascii="微软雅黑" w:hAnsi="微软雅黑" w:eastAsia="微软雅黑"/>
          <w:b/>
          <w:color w:val="365F91"/>
          <w:sz w:val="27"/>
        </w:rPr>
        <w:t>3.7 统计方法</w:t>
      </w:r>
    </w:p>
    <w:p>
      <w:pPr>
        <w:pStyle w:val="ListBullet"/>
        <w:spacing w:after="40" w:line="360" w:lineRule="auto"/>
      </w:pPr>
      <w:r>
        <w:rPr>
          <w:rFonts w:ascii="微软雅黑" w:hAnsi="微软雅黑" w:eastAsia="微软雅黑"/>
          <w:b w:val="0"/>
          <w:sz w:val="21"/>
        </w:rPr>
        <w:t>分析人群：mITT（modified ITT）= 至少接受 1 次刺激治疗的受试者（n=173）</w:t>
      </w:r>
    </w:p>
    <w:p>
      <w:pPr>
        <w:pStyle w:val="ListBullet"/>
        <w:spacing w:after="40" w:line="360" w:lineRule="auto"/>
      </w:pPr>
      <w:r>
        <w:rPr>
          <w:rFonts w:ascii="微软雅黑" w:hAnsi="微软雅黑" w:eastAsia="微软雅黑"/>
          <w:b w:val="0"/>
          <w:sz w:val="21"/>
        </w:rPr>
        <w:t>主要分析模型：Mixed Model for Repeated Measures（重复测量混合模型）</w:t>
      </w:r>
    </w:p>
    <w:p>
      <w:pPr>
        <w:pStyle w:val="ListBullet"/>
        <w:spacing w:after="40" w:line="360" w:lineRule="auto"/>
      </w:pPr>
      <w:r>
        <w:rPr>
          <w:rFonts w:ascii="微软雅黑" w:hAnsi="微软雅黑" w:eastAsia="微软雅黑"/>
          <w:b w:val="0"/>
          <w:sz w:val="21"/>
        </w:rPr>
        <w:t>缺失数据处理：Fully Conditional Specification (FCS) 多重插补，20 个插补数据集，Rubin's Rule 合并</w:t>
      </w:r>
    </w:p>
    <w:p>
      <w:pPr>
        <w:pStyle w:val="ListBullet"/>
        <w:spacing w:after="40" w:line="360" w:lineRule="auto"/>
      </w:pPr>
      <w:r>
        <w:rPr>
          <w:rFonts w:ascii="微软雅黑" w:hAnsi="微软雅黑" w:eastAsia="微软雅黑"/>
          <w:b w:val="0"/>
          <w:sz w:val="21"/>
        </w:rPr>
        <w:t>协变量：年龄、性别、基线是否心理治疗、基线是否用抗抑郁药、治疗组</w:t>
      </w:r>
    </w:p>
    <w:p>
      <w:pPr>
        <w:pStyle w:val="ListBullet"/>
        <w:spacing w:after="40" w:line="360" w:lineRule="auto"/>
      </w:pPr>
      <w:r>
        <w:rPr>
          <w:rFonts w:ascii="微软雅黑" w:hAnsi="微软雅黑" w:eastAsia="微软雅黑"/>
          <w:b w:val="0"/>
          <w:sz w:val="21"/>
        </w:rPr>
        <w:t>多重性控制：Hochberg 方法（对 3 个预设次要终点：1a、1b、4）</w:t>
      </w:r>
    </w:p>
    <w:p>
      <w:pPr>
        <w:pStyle w:val="ListBullet"/>
        <w:spacing w:after="40" w:line="360" w:lineRule="auto"/>
      </w:pPr>
      <w:r>
        <w:rPr>
          <w:rFonts w:ascii="微软雅黑" w:hAnsi="微软雅黑" w:eastAsia="微软雅黑"/>
          <w:b w:val="0"/>
          <w:sz w:val="21"/>
        </w:rPr>
        <w:t>成功判定：单侧 p &lt; 0.025</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中国方案的统计部分可直接采用相同方法。CDE 尤其看重"预设的分析计划（SAP）"，建议在方案启动前完成 SAP 并锁定，且盲态审核（Blind Data Review）后再解盲。缺失数据插补方案应写在 SAP 中，避免临时决定。</w:t>
      </w:r>
    </w:p>
    <w:p>
      <w:pPr>
        <w:spacing w:before="240" w:after="120"/>
      </w:pPr>
      <w:r>
        <w:rPr>
          <w:rFonts w:ascii="微软雅黑" w:hAnsi="微软雅黑" w:eastAsia="微软雅黑"/>
          <w:b/>
          <w:color w:val="365F91"/>
          <w:sz w:val="27"/>
        </w:rPr>
        <w:t>3.8 关键疗效结果（Empower 报告值）</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2268"/>
            <w:shd w:val="clear" w:color="auto" w:fill="1F497D"/>
            <w:vAlign w:val="center"/>
          </w:tcPr>
          <w:p>
            <w:pPr>
              <w:jc w:val="center"/>
            </w:pPr>
            <w:r/>
            <w:r>
              <w:rPr>
                <w:rFonts w:ascii="微软雅黑" w:hAnsi="微软雅黑" w:eastAsia="微软雅黑"/>
                <w:b/>
                <w:color w:val="FFFFFF"/>
                <w:sz w:val="20"/>
              </w:rPr>
              <w:t>终点（Week 10）</w:t>
            </w:r>
          </w:p>
        </w:tc>
        <w:tc>
          <w:tcPr>
            <w:tcW w:type="dxa" w:w="1134"/>
            <w:shd w:val="clear" w:color="auto" w:fill="1F497D"/>
            <w:vAlign w:val="center"/>
          </w:tcPr>
          <w:p>
            <w:pPr>
              <w:jc w:val="center"/>
            </w:pPr>
            <w:r/>
            <w:r>
              <w:rPr>
                <w:rFonts w:ascii="微软雅黑" w:hAnsi="微软雅黑" w:eastAsia="微软雅黑"/>
                <w:b/>
                <w:color w:val="FFFFFF"/>
                <w:sz w:val="20"/>
              </w:rPr>
              <w:t>Active</w:t>
            </w:r>
          </w:p>
        </w:tc>
        <w:tc>
          <w:tcPr>
            <w:tcW w:type="dxa" w:w="1134"/>
            <w:shd w:val="clear" w:color="auto" w:fill="1F497D"/>
            <w:vAlign w:val="center"/>
          </w:tcPr>
          <w:p>
            <w:pPr>
              <w:jc w:val="center"/>
            </w:pPr>
            <w:r/>
            <w:r>
              <w:rPr>
                <w:rFonts w:ascii="微软雅黑" w:hAnsi="微软雅黑" w:eastAsia="微软雅黑"/>
                <w:b/>
                <w:color w:val="FFFFFF"/>
                <w:sz w:val="20"/>
              </w:rPr>
              <w:t>Sham</w:t>
            </w:r>
          </w:p>
        </w:tc>
        <w:tc>
          <w:tcPr>
            <w:tcW w:type="dxa" w:w="1134"/>
            <w:shd w:val="clear" w:color="auto" w:fill="1F497D"/>
            <w:vAlign w:val="center"/>
          </w:tcPr>
          <w:p>
            <w:pPr>
              <w:jc w:val="center"/>
            </w:pPr>
            <w:r/>
            <w:r>
              <w:rPr>
                <w:rFonts w:ascii="微软雅黑" w:hAnsi="微软雅黑" w:eastAsia="微软雅黑"/>
                <w:b/>
                <w:color w:val="FFFFFF"/>
                <w:sz w:val="20"/>
              </w:rPr>
              <w:t>Δ</w:t>
            </w:r>
          </w:p>
        </w:tc>
        <w:tc>
          <w:tcPr>
            <w:tcW w:type="dxa" w:w="1701"/>
            <w:shd w:val="clear" w:color="auto" w:fill="1F497D"/>
            <w:vAlign w:val="center"/>
          </w:tcPr>
          <w:p>
            <w:pPr>
              <w:jc w:val="center"/>
            </w:pPr>
            <w:r/>
            <w:r>
              <w:rPr>
                <w:rFonts w:ascii="微软雅黑" w:hAnsi="微软雅黑" w:eastAsia="微软雅黑"/>
                <w:b/>
                <w:color w:val="FFFFFF"/>
                <w:sz w:val="20"/>
              </w:rPr>
              <w:t>效应量</w:t>
            </w:r>
          </w:p>
        </w:tc>
        <w:tc>
          <w:tcPr>
            <w:tcW w:type="dxa" w:w="1701"/>
            <w:shd w:val="clear" w:color="auto" w:fill="1F497D"/>
            <w:vAlign w:val="center"/>
          </w:tcPr>
          <w:p>
            <w:pPr>
              <w:jc w:val="center"/>
            </w:pPr>
            <w:r/>
            <w:r>
              <w:rPr>
                <w:rFonts w:ascii="微软雅黑" w:hAnsi="微软雅黑" w:eastAsia="微软雅黑"/>
                <w:b/>
                <w:color w:val="FFFFFF"/>
                <w:sz w:val="20"/>
              </w:rPr>
              <w:t>p 值</w:t>
            </w:r>
          </w:p>
        </w:tc>
      </w:tr>
      <w:tr>
        <w:tc>
          <w:tcPr>
            <w:tcW w:type="dxa" w:w="2268"/>
            <w:vAlign w:val="center"/>
          </w:tcPr>
          <w:p>
            <w:pPr>
              <w:jc w:val="left"/>
            </w:pPr>
            <w:r/>
            <w:r>
              <w:rPr>
                <w:rFonts w:ascii="微软雅黑" w:hAnsi="微软雅黑" w:eastAsia="微软雅黑"/>
                <w:b w:val="0"/>
                <w:sz w:val="19"/>
              </w:rPr>
              <w:t>HDRS-17 均分改变</w:t>
            </w:r>
          </w:p>
        </w:tc>
        <w:tc>
          <w:tcPr>
            <w:tcW w:type="dxa" w:w="1134"/>
            <w:vAlign w:val="center"/>
          </w:tcPr>
          <w:p>
            <w:pPr>
              <w:jc w:val="left"/>
            </w:pPr>
            <w:r/>
            <w:r>
              <w:rPr>
                <w:rFonts w:ascii="微软雅黑" w:hAnsi="微软雅黑" w:eastAsia="微软雅黑"/>
                <w:b w:val="0"/>
                <w:sz w:val="19"/>
              </w:rPr>
              <w:t>-9.4</w:t>
            </w:r>
          </w:p>
        </w:tc>
        <w:tc>
          <w:tcPr>
            <w:tcW w:type="dxa" w:w="1134"/>
            <w:vAlign w:val="center"/>
          </w:tcPr>
          <w:p>
            <w:pPr>
              <w:jc w:val="left"/>
            </w:pPr>
            <w:r/>
            <w:r>
              <w:rPr>
                <w:rFonts w:ascii="微软雅黑" w:hAnsi="微软雅黑" w:eastAsia="微软雅黑"/>
                <w:b w:val="0"/>
                <w:sz w:val="19"/>
              </w:rPr>
              <w:t>-7.1</w:t>
            </w:r>
          </w:p>
        </w:tc>
        <w:tc>
          <w:tcPr>
            <w:tcW w:type="dxa" w:w="1134"/>
            <w:vAlign w:val="center"/>
          </w:tcPr>
          <w:p>
            <w:pPr>
              <w:jc w:val="left"/>
            </w:pPr>
            <w:r/>
            <w:r>
              <w:rPr>
                <w:rFonts w:ascii="微软雅黑" w:hAnsi="微软雅黑" w:eastAsia="微软雅黑"/>
                <w:b w:val="0"/>
                <w:sz w:val="19"/>
              </w:rPr>
              <w:t>-2.3</w:t>
            </w:r>
          </w:p>
        </w:tc>
        <w:tc>
          <w:tcPr>
            <w:tcW w:type="dxa" w:w="1701"/>
            <w:vAlign w:val="center"/>
          </w:tcPr>
          <w:p>
            <w:pPr>
              <w:jc w:val="left"/>
            </w:pPr>
            <w:r/>
            <w:r>
              <w:rPr>
                <w:rFonts w:ascii="微软雅黑" w:hAnsi="微软雅黑" w:eastAsia="微软雅黑"/>
                <w:b w:val="0"/>
                <w:sz w:val="19"/>
              </w:rPr>
              <w:t>Cohen's d = 0.37</w:t>
            </w:r>
          </w:p>
        </w:tc>
        <w:tc>
          <w:tcPr>
            <w:tcW w:type="dxa" w:w="1701"/>
            <w:vAlign w:val="center"/>
          </w:tcPr>
          <w:p>
            <w:pPr>
              <w:jc w:val="left"/>
            </w:pPr>
            <w:r/>
            <w:r>
              <w:rPr>
                <w:rFonts w:ascii="微软雅黑" w:hAnsi="微软雅黑" w:eastAsia="微软雅黑"/>
                <w:b w:val="0"/>
                <w:sz w:val="19"/>
              </w:rPr>
              <w:t>0.012 ★</w:t>
            </w:r>
          </w:p>
        </w:tc>
      </w:tr>
      <w:tr>
        <w:tc>
          <w:tcPr>
            <w:tcW w:type="dxa" w:w="2268"/>
            <w:vAlign w:val="center"/>
          </w:tcPr>
          <w:p>
            <w:pPr>
              <w:jc w:val="left"/>
            </w:pPr>
            <w:r/>
            <w:r>
              <w:rPr>
                <w:rFonts w:ascii="微软雅黑" w:hAnsi="微软雅黑" w:eastAsia="微软雅黑"/>
                <w:b w:val="0"/>
                <w:sz w:val="19"/>
              </w:rPr>
              <w:t>HDRS-17 应答率</w:t>
            </w:r>
          </w:p>
        </w:tc>
        <w:tc>
          <w:tcPr>
            <w:tcW w:type="dxa" w:w="1134"/>
            <w:vAlign w:val="center"/>
          </w:tcPr>
          <w:p>
            <w:pPr>
              <w:jc w:val="left"/>
            </w:pPr>
            <w:r/>
            <w:r>
              <w:rPr>
                <w:rFonts w:ascii="微软雅黑" w:hAnsi="微软雅黑" w:eastAsia="微软雅黑"/>
                <w:b w:val="0"/>
                <w:sz w:val="19"/>
              </w:rPr>
              <w:t>54.4%</w:t>
            </w:r>
          </w:p>
        </w:tc>
        <w:tc>
          <w:tcPr>
            <w:tcW w:type="dxa" w:w="1134"/>
            <w:vAlign w:val="center"/>
          </w:tcPr>
          <w:p>
            <w:pPr>
              <w:jc w:val="left"/>
            </w:pPr>
            <w:r/>
            <w:r>
              <w:rPr>
                <w:rFonts w:ascii="微软雅黑" w:hAnsi="微软雅黑" w:eastAsia="微软雅黑"/>
                <w:b w:val="0"/>
                <w:sz w:val="19"/>
              </w:rPr>
              <w:t>26.9%</w:t>
            </w:r>
          </w:p>
        </w:tc>
        <w:tc>
          <w:tcPr>
            <w:tcW w:type="dxa" w:w="1134"/>
            <w:vAlign w:val="center"/>
          </w:tcPr>
          <w:p>
            <w:pPr>
              <w:jc w:val="left"/>
            </w:pPr>
            <w:r/>
            <w:r>
              <w:rPr>
                <w:rFonts w:ascii="微软雅黑" w:hAnsi="微软雅黑" w:eastAsia="微软雅黑"/>
                <w:b w:val="0"/>
                <w:sz w:val="19"/>
              </w:rPr>
              <w:t>27.5%</w:t>
            </w:r>
          </w:p>
        </w:tc>
        <w:tc>
          <w:tcPr>
            <w:tcW w:type="dxa" w:w="1701"/>
            <w:vAlign w:val="center"/>
          </w:tcPr>
          <w:p>
            <w:pPr>
              <w:jc w:val="left"/>
            </w:pPr>
            <w:r/>
            <w:r>
              <w:rPr>
                <w:rFonts w:ascii="微软雅黑" w:hAnsi="微软雅黑" w:eastAsia="微软雅黑"/>
                <w:b w:val="0"/>
                <w:sz w:val="19"/>
              </w:rPr>
              <w:t>OR = 3.25</w:t>
            </w:r>
          </w:p>
        </w:tc>
        <w:tc>
          <w:tcPr>
            <w:tcW w:type="dxa" w:w="1701"/>
            <w:vAlign w:val="center"/>
          </w:tcPr>
          <w:p>
            <w:pPr>
              <w:jc w:val="left"/>
            </w:pPr>
            <w:r/>
            <w:r>
              <w:rPr>
                <w:rFonts w:ascii="微软雅黑" w:hAnsi="微软雅黑" w:eastAsia="微软雅黑"/>
                <w:b w:val="0"/>
                <w:sz w:val="19"/>
              </w:rPr>
              <w:t>0.001 ★</w:t>
            </w:r>
          </w:p>
        </w:tc>
      </w:tr>
      <w:tr>
        <w:tc>
          <w:tcPr>
            <w:tcW w:type="dxa" w:w="2268"/>
            <w:vAlign w:val="center"/>
          </w:tcPr>
          <w:p>
            <w:pPr>
              <w:jc w:val="left"/>
            </w:pPr>
            <w:r/>
            <w:r>
              <w:rPr>
                <w:rFonts w:ascii="微软雅黑" w:hAnsi="微软雅黑" w:eastAsia="微软雅黑"/>
                <w:b w:val="0"/>
                <w:sz w:val="19"/>
              </w:rPr>
              <w:t>HDRS-17 缓解率</w:t>
            </w:r>
          </w:p>
        </w:tc>
        <w:tc>
          <w:tcPr>
            <w:tcW w:type="dxa" w:w="1134"/>
            <w:vAlign w:val="center"/>
          </w:tcPr>
          <w:p>
            <w:pPr>
              <w:jc w:val="left"/>
            </w:pPr>
            <w:r/>
            <w:r>
              <w:rPr>
                <w:rFonts w:ascii="微软雅黑" w:hAnsi="微软雅黑" w:eastAsia="微软雅黑"/>
                <w:b w:val="0"/>
                <w:sz w:val="19"/>
              </w:rPr>
              <w:t>44.9%</w:t>
            </w:r>
          </w:p>
        </w:tc>
        <w:tc>
          <w:tcPr>
            <w:tcW w:type="dxa" w:w="1134"/>
            <w:vAlign w:val="center"/>
          </w:tcPr>
          <w:p>
            <w:pPr>
              <w:jc w:val="left"/>
            </w:pPr>
            <w:r/>
            <w:r>
              <w:rPr>
                <w:rFonts w:ascii="微软雅黑" w:hAnsi="微软雅黑" w:eastAsia="微软雅黑"/>
                <w:b w:val="0"/>
                <w:sz w:val="19"/>
              </w:rPr>
              <w:t>21.8%</w:t>
            </w:r>
          </w:p>
        </w:tc>
        <w:tc>
          <w:tcPr>
            <w:tcW w:type="dxa" w:w="1134"/>
            <w:vAlign w:val="center"/>
          </w:tcPr>
          <w:p>
            <w:pPr>
              <w:jc w:val="left"/>
            </w:pPr>
            <w:r/>
            <w:r>
              <w:rPr>
                <w:rFonts w:ascii="微软雅黑" w:hAnsi="微软雅黑" w:eastAsia="微软雅黑"/>
                <w:b w:val="0"/>
                <w:sz w:val="19"/>
              </w:rPr>
              <w:t>23.1%</w:t>
            </w:r>
          </w:p>
        </w:tc>
        <w:tc>
          <w:tcPr>
            <w:tcW w:type="dxa" w:w="1701"/>
            <w:vAlign w:val="center"/>
          </w:tcPr>
          <w:p>
            <w:pPr>
              <w:jc w:val="left"/>
            </w:pPr>
            <w:r/>
            <w:r>
              <w:rPr>
                <w:rFonts w:ascii="微软雅黑" w:hAnsi="微软雅黑" w:eastAsia="微软雅黑"/>
                <w:b w:val="0"/>
                <w:sz w:val="19"/>
              </w:rPr>
              <w:t>OR = 2.93</w:t>
            </w:r>
          </w:p>
        </w:tc>
        <w:tc>
          <w:tcPr>
            <w:tcW w:type="dxa" w:w="1701"/>
            <w:vAlign w:val="center"/>
          </w:tcPr>
          <w:p>
            <w:pPr>
              <w:jc w:val="left"/>
            </w:pPr>
            <w:r/>
            <w:r>
              <w:rPr>
                <w:rFonts w:ascii="微软雅黑" w:hAnsi="微软雅黑" w:eastAsia="微软雅黑"/>
                <w:b w:val="0"/>
                <w:sz w:val="19"/>
              </w:rPr>
              <w:t>0.004 ★</w:t>
            </w:r>
          </w:p>
        </w:tc>
      </w:tr>
      <w:tr>
        <w:tc>
          <w:tcPr>
            <w:tcW w:type="dxa" w:w="2268"/>
            <w:vAlign w:val="center"/>
          </w:tcPr>
          <w:p>
            <w:pPr>
              <w:jc w:val="left"/>
            </w:pPr>
            <w:r/>
            <w:r>
              <w:rPr>
                <w:rFonts w:ascii="微软雅黑" w:hAnsi="微软雅黑" w:eastAsia="微软雅黑"/>
                <w:b w:val="0"/>
                <w:sz w:val="19"/>
              </w:rPr>
              <w:t>MADRS 均分改变</w:t>
            </w:r>
          </w:p>
        </w:tc>
        <w:tc>
          <w:tcPr>
            <w:tcW w:type="dxa" w:w="1134"/>
            <w:vAlign w:val="center"/>
          </w:tcPr>
          <w:p>
            <w:pPr>
              <w:jc w:val="left"/>
            </w:pPr>
            <w:r/>
            <w:r>
              <w:rPr>
                <w:rFonts w:ascii="微软雅黑" w:hAnsi="微软雅黑" w:eastAsia="微软雅黑"/>
                <w:b w:val="0"/>
                <w:sz w:val="19"/>
              </w:rPr>
              <w:t>-11.3</w:t>
            </w:r>
          </w:p>
        </w:tc>
        <w:tc>
          <w:tcPr>
            <w:tcW w:type="dxa" w:w="1134"/>
            <w:vAlign w:val="center"/>
          </w:tcPr>
          <w:p>
            <w:pPr>
              <w:jc w:val="left"/>
            </w:pPr>
            <w:r/>
            <w:r>
              <w:rPr>
                <w:rFonts w:ascii="微软雅黑" w:hAnsi="微软雅黑" w:eastAsia="微软雅黑"/>
                <w:b w:val="0"/>
                <w:sz w:val="19"/>
              </w:rPr>
              <w:t>-7.7</w:t>
            </w:r>
          </w:p>
        </w:tc>
        <w:tc>
          <w:tcPr>
            <w:tcW w:type="dxa" w:w="1134"/>
            <w:vAlign w:val="center"/>
          </w:tcPr>
          <w:p>
            <w:pPr>
              <w:jc w:val="left"/>
            </w:pPr>
            <w:r/>
            <w:r>
              <w:rPr>
                <w:rFonts w:ascii="微软雅黑" w:hAnsi="微软雅黑" w:eastAsia="微软雅黑"/>
                <w:b w:val="0"/>
                <w:sz w:val="19"/>
              </w:rPr>
              <w:t>-3.6</w:t>
            </w:r>
          </w:p>
        </w:tc>
        <w:tc>
          <w:tcPr>
            <w:tcW w:type="dxa" w:w="1701"/>
            <w:vAlign w:val="center"/>
          </w:tcPr>
          <w:p>
            <w:pPr>
              <w:jc w:val="left"/>
            </w:pPr>
            <w:r/>
            <w:r>
              <w:rPr>
                <w:rFonts w:ascii="微软雅黑" w:hAnsi="微软雅黑" w:eastAsia="微软雅黑"/>
                <w:b w:val="0"/>
                <w:sz w:val="19"/>
              </w:rPr>
              <w:t>Cohen's d = 0.41</w:t>
            </w:r>
          </w:p>
        </w:tc>
        <w:tc>
          <w:tcPr>
            <w:tcW w:type="dxa" w:w="1701"/>
            <w:vAlign w:val="center"/>
          </w:tcPr>
          <w:p>
            <w:pPr>
              <w:jc w:val="left"/>
            </w:pPr>
            <w:r/>
            <w:r>
              <w:rPr>
                <w:rFonts w:ascii="微软雅黑" w:hAnsi="微软雅黑" w:eastAsia="微软雅黑"/>
                <w:b w:val="0"/>
                <w:sz w:val="19"/>
              </w:rPr>
              <w:t>0.006 ★</w:t>
            </w:r>
          </w:p>
        </w:tc>
      </w:tr>
      <w:tr>
        <w:tc>
          <w:tcPr>
            <w:tcW w:type="dxa" w:w="2268"/>
            <w:vAlign w:val="center"/>
          </w:tcPr>
          <w:p>
            <w:pPr>
              <w:jc w:val="left"/>
            </w:pPr>
            <w:r/>
            <w:r>
              <w:rPr>
                <w:rFonts w:ascii="微软雅黑" w:hAnsi="微软雅黑" w:eastAsia="微软雅黑"/>
                <w:b w:val="0"/>
                <w:sz w:val="19"/>
              </w:rPr>
              <w:t>MADRS 应答率</w:t>
            </w:r>
          </w:p>
        </w:tc>
        <w:tc>
          <w:tcPr>
            <w:tcW w:type="dxa" w:w="1134"/>
            <w:vAlign w:val="center"/>
          </w:tcPr>
          <w:p>
            <w:pPr>
              <w:jc w:val="left"/>
            </w:pPr>
            <w:r/>
            <w:r>
              <w:rPr>
                <w:rFonts w:ascii="微软雅黑" w:hAnsi="微软雅黑" w:eastAsia="微软雅黑"/>
                <w:b w:val="0"/>
                <w:sz w:val="19"/>
              </w:rPr>
              <w:t>63.0%</w:t>
            </w:r>
          </w:p>
        </w:tc>
        <w:tc>
          <w:tcPr>
            <w:tcW w:type="dxa" w:w="1134"/>
            <w:vAlign w:val="center"/>
          </w:tcPr>
          <w:p>
            <w:pPr>
              <w:jc w:val="left"/>
            </w:pPr>
            <w:r/>
            <w:r>
              <w:rPr>
                <w:rFonts w:ascii="微软雅黑" w:hAnsi="微软雅黑" w:eastAsia="微软雅黑"/>
                <w:b w:val="0"/>
                <w:sz w:val="19"/>
              </w:rPr>
              <w:t>31.6%</w:t>
            </w:r>
          </w:p>
        </w:tc>
        <w:tc>
          <w:tcPr>
            <w:tcW w:type="dxa" w:w="1134"/>
            <w:vAlign w:val="center"/>
          </w:tcPr>
          <w:p>
            <w:pPr>
              <w:jc w:val="left"/>
            </w:pPr>
            <w:r/>
            <w:r>
              <w:rPr>
                <w:rFonts w:ascii="微软雅黑" w:hAnsi="微软雅黑" w:eastAsia="微软雅黑"/>
                <w:b w:val="0"/>
                <w:sz w:val="19"/>
              </w:rPr>
              <w:t>31.4%</w:t>
            </w:r>
          </w:p>
        </w:tc>
        <w:tc>
          <w:tcPr>
            <w:tcW w:type="dxa" w:w="1701"/>
            <w:vAlign w:val="center"/>
          </w:tcPr>
          <w:p>
            <w:pPr>
              <w:jc w:val="left"/>
            </w:pPr>
            <w:r/>
            <w:r>
              <w:rPr>
                <w:rFonts w:ascii="微软雅黑" w:hAnsi="微软雅黑" w:eastAsia="微软雅黑"/>
                <w:b w:val="0"/>
                <w:sz w:val="19"/>
              </w:rPr>
              <w:t>OR = 3.70</w:t>
            </w:r>
          </w:p>
        </w:tc>
        <w:tc>
          <w:tcPr>
            <w:tcW w:type="dxa" w:w="1701"/>
            <w:vAlign w:val="center"/>
          </w:tcPr>
          <w:p>
            <w:pPr>
              <w:jc w:val="left"/>
            </w:pPr>
            <w:r/>
            <w:r>
              <w:rPr>
                <w:rFonts w:ascii="微软雅黑" w:hAnsi="微软雅黑" w:eastAsia="微软雅黑"/>
                <w:b w:val="0"/>
                <w:sz w:val="19"/>
              </w:rPr>
              <w:t>&lt;0.001 ★</w:t>
            </w:r>
          </w:p>
        </w:tc>
      </w:tr>
      <w:tr>
        <w:tc>
          <w:tcPr>
            <w:tcW w:type="dxa" w:w="2268"/>
            <w:vAlign w:val="center"/>
          </w:tcPr>
          <w:p>
            <w:pPr>
              <w:jc w:val="left"/>
            </w:pPr>
            <w:r/>
            <w:r>
              <w:rPr>
                <w:rFonts w:ascii="微软雅黑" w:hAnsi="微软雅黑" w:eastAsia="微软雅黑"/>
                <w:b w:val="0"/>
                <w:sz w:val="19"/>
              </w:rPr>
              <w:t>MADRS 缓解率</w:t>
            </w:r>
          </w:p>
        </w:tc>
        <w:tc>
          <w:tcPr>
            <w:tcW w:type="dxa" w:w="1134"/>
            <w:vAlign w:val="center"/>
          </w:tcPr>
          <w:p>
            <w:pPr>
              <w:jc w:val="left"/>
            </w:pPr>
            <w:r/>
            <w:r>
              <w:rPr>
                <w:rFonts w:ascii="微软雅黑" w:hAnsi="微软雅黑" w:eastAsia="微软雅黑"/>
                <w:b w:val="0"/>
                <w:sz w:val="19"/>
              </w:rPr>
              <w:t>57.5%</w:t>
            </w:r>
          </w:p>
        </w:tc>
        <w:tc>
          <w:tcPr>
            <w:tcW w:type="dxa" w:w="1134"/>
            <w:vAlign w:val="center"/>
          </w:tcPr>
          <w:p>
            <w:pPr>
              <w:jc w:val="left"/>
            </w:pPr>
            <w:r/>
            <w:r>
              <w:rPr>
                <w:rFonts w:ascii="微软雅黑" w:hAnsi="微软雅黑" w:eastAsia="微软雅黑"/>
                <w:b w:val="0"/>
                <w:sz w:val="19"/>
              </w:rPr>
              <w:t>29.4%</w:t>
            </w:r>
          </w:p>
        </w:tc>
        <w:tc>
          <w:tcPr>
            <w:tcW w:type="dxa" w:w="1134"/>
            <w:vAlign w:val="center"/>
          </w:tcPr>
          <w:p>
            <w:pPr>
              <w:jc w:val="left"/>
            </w:pPr>
            <w:r/>
            <w:r>
              <w:rPr>
                <w:rFonts w:ascii="微软雅黑" w:hAnsi="微软雅黑" w:eastAsia="微软雅黑"/>
                <w:b w:val="0"/>
                <w:sz w:val="19"/>
              </w:rPr>
              <w:t>28.1%</w:t>
            </w:r>
          </w:p>
        </w:tc>
        <w:tc>
          <w:tcPr>
            <w:tcW w:type="dxa" w:w="1701"/>
            <w:vAlign w:val="center"/>
          </w:tcPr>
          <w:p>
            <w:pPr>
              <w:jc w:val="left"/>
            </w:pPr>
            <w:r/>
            <w:r>
              <w:rPr>
                <w:rFonts w:ascii="微软雅黑" w:hAnsi="微软雅黑" w:eastAsia="微软雅黑"/>
                <w:b w:val="0"/>
                <w:sz w:val="19"/>
              </w:rPr>
              <w:t>OR = 3.26</w:t>
            </w:r>
          </w:p>
        </w:tc>
        <w:tc>
          <w:tcPr>
            <w:tcW w:type="dxa" w:w="1701"/>
            <w:vAlign w:val="center"/>
          </w:tcPr>
          <w:p>
            <w:pPr>
              <w:jc w:val="left"/>
            </w:pPr>
            <w:r/>
            <w:r>
              <w:rPr>
                <w:rFonts w:ascii="微软雅黑" w:hAnsi="微软雅黑" w:eastAsia="微软雅黑"/>
                <w:b w:val="0"/>
                <w:sz w:val="19"/>
              </w:rPr>
              <w:t>0.002 ★</w:t>
            </w:r>
          </w:p>
        </w:tc>
      </w:tr>
      <w:tr>
        <w:tc>
          <w:tcPr>
            <w:tcW w:type="dxa" w:w="2268"/>
            <w:vAlign w:val="center"/>
          </w:tcPr>
          <w:p>
            <w:pPr>
              <w:jc w:val="left"/>
            </w:pPr>
            <w:r/>
            <w:r>
              <w:rPr>
                <w:rFonts w:ascii="微软雅黑" w:hAnsi="微软雅黑" w:eastAsia="微软雅黑"/>
                <w:b w:val="0"/>
                <w:sz w:val="19"/>
              </w:rPr>
              <w:t>MADRS-s 均分改变</w:t>
            </w:r>
          </w:p>
        </w:tc>
        <w:tc>
          <w:tcPr>
            <w:tcW w:type="dxa" w:w="1134"/>
            <w:vAlign w:val="center"/>
          </w:tcPr>
          <w:p>
            <w:pPr>
              <w:jc w:val="left"/>
            </w:pPr>
            <w:r/>
            <w:r>
              <w:rPr>
                <w:rFonts w:ascii="微软雅黑" w:hAnsi="微软雅黑" w:eastAsia="微软雅黑"/>
                <w:b w:val="0"/>
                <w:sz w:val="19"/>
              </w:rPr>
              <w:t>-9.9</w:t>
            </w:r>
          </w:p>
        </w:tc>
        <w:tc>
          <w:tcPr>
            <w:tcW w:type="dxa" w:w="1134"/>
            <w:vAlign w:val="center"/>
          </w:tcPr>
          <w:p>
            <w:pPr>
              <w:jc w:val="left"/>
            </w:pPr>
            <w:r/>
            <w:r>
              <w:rPr>
                <w:rFonts w:ascii="微软雅黑" w:hAnsi="微软雅黑" w:eastAsia="微软雅黑"/>
                <w:b w:val="0"/>
                <w:sz w:val="19"/>
              </w:rPr>
              <w:t>-6.2</w:t>
            </w:r>
          </w:p>
        </w:tc>
        <w:tc>
          <w:tcPr>
            <w:tcW w:type="dxa" w:w="1134"/>
            <w:vAlign w:val="center"/>
          </w:tcPr>
          <w:p>
            <w:pPr>
              <w:jc w:val="left"/>
            </w:pPr>
            <w:r/>
            <w:r>
              <w:rPr>
                <w:rFonts w:ascii="微软雅黑" w:hAnsi="微软雅黑" w:eastAsia="微软雅黑"/>
                <w:b w:val="0"/>
                <w:sz w:val="19"/>
              </w:rPr>
              <w:t>-3.7</w:t>
            </w:r>
          </w:p>
        </w:tc>
        <w:tc>
          <w:tcPr>
            <w:tcW w:type="dxa" w:w="1701"/>
            <w:vAlign w:val="center"/>
          </w:tcPr>
          <w:p>
            <w:pPr>
              <w:jc w:val="left"/>
            </w:pPr>
            <w:r/>
            <w:r>
              <w:rPr>
                <w:rFonts w:ascii="微软雅黑" w:hAnsi="微软雅黑" w:eastAsia="微软雅黑"/>
                <w:b w:val="0"/>
                <w:sz w:val="19"/>
              </w:rPr>
              <w:t>Cohen's d = 0.41</w:t>
            </w:r>
          </w:p>
        </w:tc>
        <w:tc>
          <w:tcPr>
            <w:tcW w:type="dxa" w:w="1701"/>
            <w:vAlign w:val="center"/>
          </w:tcPr>
          <w:p>
            <w:pPr>
              <w:jc w:val="left"/>
            </w:pPr>
            <w:r/>
            <w:r>
              <w:rPr>
                <w:rFonts w:ascii="微软雅黑" w:hAnsi="微软雅黑" w:eastAsia="微软雅黑"/>
                <w:b w:val="0"/>
                <w:sz w:val="19"/>
              </w:rPr>
              <w:t>0.009 ★</w:t>
            </w:r>
          </w:p>
        </w:tc>
      </w:tr>
      <w:tr>
        <w:tc>
          <w:tcPr>
            <w:tcW w:type="dxa" w:w="2268"/>
            <w:vAlign w:val="center"/>
          </w:tcPr>
          <w:p>
            <w:pPr>
              <w:jc w:val="left"/>
            </w:pPr>
            <w:r/>
            <w:r>
              <w:rPr>
                <w:rFonts w:ascii="微软雅黑" w:hAnsi="微软雅黑" w:eastAsia="微软雅黑"/>
                <w:b w:val="0"/>
                <w:sz w:val="19"/>
              </w:rPr>
              <w:t>MADRS-s 应答率</w:t>
            </w:r>
          </w:p>
        </w:tc>
        <w:tc>
          <w:tcPr>
            <w:tcW w:type="dxa" w:w="1134"/>
            <w:vAlign w:val="center"/>
          </w:tcPr>
          <w:p>
            <w:pPr>
              <w:jc w:val="left"/>
            </w:pPr>
            <w:r/>
            <w:r>
              <w:rPr>
                <w:rFonts w:ascii="微软雅黑" w:hAnsi="微软雅黑" w:eastAsia="微软雅黑"/>
                <w:b w:val="0"/>
                <w:sz w:val="19"/>
              </w:rPr>
              <w:t>49.1%</w:t>
            </w:r>
          </w:p>
        </w:tc>
        <w:tc>
          <w:tcPr>
            <w:tcW w:type="dxa" w:w="1134"/>
            <w:vAlign w:val="center"/>
          </w:tcPr>
          <w:p>
            <w:pPr>
              <w:jc w:val="left"/>
            </w:pPr>
            <w:r/>
            <w:r>
              <w:rPr>
                <w:rFonts w:ascii="微软雅黑" w:hAnsi="微软雅黑" w:eastAsia="微软雅黑"/>
                <w:b w:val="0"/>
                <w:sz w:val="19"/>
              </w:rPr>
              <w:t>24.0%</w:t>
            </w:r>
          </w:p>
        </w:tc>
        <w:tc>
          <w:tcPr>
            <w:tcW w:type="dxa" w:w="1134"/>
            <w:vAlign w:val="center"/>
          </w:tcPr>
          <w:p>
            <w:pPr>
              <w:jc w:val="left"/>
            </w:pPr>
            <w:r/>
            <w:r>
              <w:rPr>
                <w:rFonts w:ascii="微软雅黑" w:hAnsi="微软雅黑" w:eastAsia="微软雅黑"/>
                <w:b w:val="0"/>
                <w:sz w:val="19"/>
              </w:rPr>
              <w:t>25.1%</w:t>
            </w:r>
          </w:p>
        </w:tc>
        <w:tc>
          <w:tcPr>
            <w:tcW w:type="dxa" w:w="1701"/>
            <w:vAlign w:val="center"/>
          </w:tcPr>
          <w:p>
            <w:pPr>
              <w:jc w:val="left"/>
            </w:pPr>
            <w:r/>
            <w:r>
              <w:rPr>
                <w:rFonts w:ascii="微软雅黑" w:hAnsi="微软雅黑" w:eastAsia="微软雅黑"/>
                <w:b w:val="0"/>
                <w:sz w:val="19"/>
              </w:rPr>
              <w:t>OR = 3.06</w:t>
            </w:r>
          </w:p>
        </w:tc>
        <w:tc>
          <w:tcPr>
            <w:tcW w:type="dxa" w:w="1701"/>
            <w:vAlign w:val="center"/>
          </w:tcPr>
          <w:p>
            <w:pPr>
              <w:jc w:val="left"/>
            </w:pPr>
            <w:r/>
            <w:r>
              <w:rPr>
                <w:rFonts w:ascii="微软雅黑" w:hAnsi="微软雅黑" w:eastAsia="微软雅黑"/>
                <w:b w:val="0"/>
                <w:sz w:val="19"/>
              </w:rPr>
              <w:t>0.004 ★</w:t>
            </w:r>
          </w:p>
        </w:tc>
      </w:tr>
      <w:tr>
        <w:tc>
          <w:tcPr>
            <w:tcW w:type="dxa" w:w="2268"/>
            <w:vAlign w:val="center"/>
          </w:tcPr>
          <w:p>
            <w:pPr>
              <w:jc w:val="left"/>
            </w:pPr>
            <w:r/>
            <w:r>
              <w:rPr>
                <w:rFonts w:ascii="微软雅黑" w:hAnsi="微软雅黑" w:eastAsia="微软雅黑"/>
                <w:b w:val="0"/>
                <w:sz w:val="19"/>
              </w:rPr>
              <w:t>MADRS-s 缓解率</w:t>
            </w:r>
          </w:p>
        </w:tc>
        <w:tc>
          <w:tcPr>
            <w:tcW w:type="dxa" w:w="1134"/>
            <w:vAlign w:val="center"/>
          </w:tcPr>
          <w:p>
            <w:pPr>
              <w:jc w:val="left"/>
            </w:pPr>
            <w:r/>
            <w:r>
              <w:rPr>
                <w:rFonts w:ascii="微软雅黑" w:hAnsi="微软雅黑" w:eastAsia="微软雅黑"/>
                <w:b w:val="0"/>
                <w:sz w:val="19"/>
              </w:rPr>
              <w:t>53.8%</w:t>
            </w:r>
          </w:p>
        </w:tc>
        <w:tc>
          <w:tcPr>
            <w:tcW w:type="dxa" w:w="1134"/>
            <w:vAlign w:val="center"/>
          </w:tcPr>
          <w:p>
            <w:pPr>
              <w:jc w:val="left"/>
            </w:pPr>
            <w:r/>
            <w:r>
              <w:rPr>
                <w:rFonts w:ascii="微软雅黑" w:hAnsi="微软雅黑" w:eastAsia="微软雅黑"/>
                <w:b w:val="0"/>
                <w:sz w:val="19"/>
              </w:rPr>
              <w:t>23.4%</w:t>
            </w:r>
          </w:p>
        </w:tc>
        <w:tc>
          <w:tcPr>
            <w:tcW w:type="dxa" w:w="1134"/>
            <w:vAlign w:val="center"/>
          </w:tcPr>
          <w:p>
            <w:pPr>
              <w:jc w:val="left"/>
            </w:pPr>
            <w:r/>
            <w:r>
              <w:rPr>
                <w:rFonts w:ascii="微软雅黑" w:hAnsi="微软雅黑" w:eastAsia="微软雅黑"/>
                <w:b w:val="0"/>
                <w:sz w:val="19"/>
              </w:rPr>
              <w:t>30.4%</w:t>
            </w:r>
          </w:p>
        </w:tc>
        <w:tc>
          <w:tcPr>
            <w:tcW w:type="dxa" w:w="1701"/>
            <w:vAlign w:val="center"/>
          </w:tcPr>
          <w:p>
            <w:pPr>
              <w:jc w:val="left"/>
            </w:pPr>
            <w:r/>
            <w:r>
              <w:rPr>
                <w:rFonts w:ascii="微软雅黑" w:hAnsi="微软雅黑" w:eastAsia="微软雅黑"/>
                <w:b w:val="0"/>
                <w:sz w:val="19"/>
              </w:rPr>
              <w:t>OR = 3.83</w:t>
            </w:r>
          </w:p>
        </w:tc>
        <w:tc>
          <w:tcPr>
            <w:tcW w:type="dxa" w:w="1701"/>
            <w:vAlign w:val="center"/>
          </w:tcPr>
          <w:p>
            <w:pPr>
              <w:jc w:val="left"/>
            </w:pPr>
            <w:r/>
            <w:r>
              <w:rPr>
                <w:rFonts w:ascii="微软雅黑" w:hAnsi="微软雅黑" w:eastAsia="微软雅黑"/>
                <w:b w:val="0"/>
                <w:sz w:val="19"/>
              </w:rPr>
              <w:t>0.002 ★</w:t>
            </w:r>
          </w:p>
        </w:tc>
      </w:tr>
      <w:tr>
        <w:tc>
          <w:tcPr>
            <w:tcW w:type="dxa" w:w="2268"/>
            <w:vAlign w:val="center"/>
          </w:tcPr>
          <w:p>
            <w:pPr>
              <w:jc w:val="left"/>
            </w:pPr>
            <w:r/>
            <w:r>
              <w:rPr>
                <w:rFonts w:ascii="微软雅黑" w:hAnsi="微软雅黑" w:eastAsia="微软雅黑"/>
                <w:b w:val="0"/>
                <w:sz w:val="19"/>
              </w:rPr>
              <w:t>EQ-5D-3L 均分改变</w:t>
            </w:r>
          </w:p>
        </w:tc>
        <w:tc>
          <w:tcPr>
            <w:tcW w:type="dxa" w:w="1134"/>
            <w:vAlign w:val="center"/>
          </w:tcPr>
          <w:p>
            <w:pPr>
              <w:jc w:val="left"/>
            </w:pPr>
            <w:r/>
            <w:r>
              <w:rPr>
                <w:rFonts w:ascii="微软雅黑" w:hAnsi="微软雅黑" w:eastAsia="微软雅黑"/>
                <w:b w:val="0"/>
                <w:sz w:val="19"/>
              </w:rPr>
              <w:t>0.08</w:t>
            </w:r>
          </w:p>
        </w:tc>
        <w:tc>
          <w:tcPr>
            <w:tcW w:type="dxa" w:w="1134"/>
            <w:vAlign w:val="center"/>
          </w:tcPr>
          <w:p>
            <w:pPr>
              <w:jc w:val="left"/>
            </w:pPr>
            <w:r/>
            <w:r>
              <w:rPr>
                <w:rFonts w:ascii="微软雅黑" w:hAnsi="微软雅黑" w:eastAsia="微软雅黑"/>
                <w:b w:val="0"/>
                <w:sz w:val="19"/>
              </w:rPr>
              <w:t>0.06</w:t>
            </w:r>
          </w:p>
        </w:tc>
        <w:tc>
          <w:tcPr>
            <w:tcW w:type="dxa" w:w="1134"/>
            <w:vAlign w:val="center"/>
          </w:tcPr>
          <w:p>
            <w:pPr>
              <w:jc w:val="left"/>
            </w:pPr>
            <w:r/>
            <w:r>
              <w:rPr>
                <w:rFonts w:ascii="微软雅黑" w:hAnsi="微软雅黑" w:eastAsia="微软雅黑"/>
                <w:b w:val="0"/>
                <w:sz w:val="19"/>
              </w:rPr>
              <w:t>0.02</w:t>
            </w:r>
          </w:p>
        </w:tc>
        <w:tc>
          <w:tcPr>
            <w:tcW w:type="dxa" w:w="1701"/>
            <w:vAlign w:val="center"/>
          </w:tcPr>
          <w:p>
            <w:pPr>
              <w:jc w:val="left"/>
            </w:pPr>
            <w:r/>
            <w:r>
              <w:rPr>
                <w:rFonts w:ascii="微软雅黑" w:hAnsi="微软雅黑" w:eastAsia="微软雅黑"/>
                <w:b w:val="0"/>
                <w:sz w:val="19"/>
              </w:rPr>
              <w:t>—</w:t>
            </w:r>
          </w:p>
        </w:tc>
        <w:tc>
          <w:tcPr>
            <w:tcW w:type="dxa" w:w="1701"/>
            <w:vAlign w:val="center"/>
          </w:tcPr>
          <w:p>
            <w:pPr>
              <w:jc w:val="left"/>
            </w:pPr>
            <w:r/>
            <w:r>
              <w:rPr>
                <w:rFonts w:ascii="微软雅黑" w:hAnsi="微软雅黑" w:eastAsia="微软雅黑"/>
                <w:b w:val="0"/>
                <w:sz w:val="19"/>
              </w:rPr>
              <w:t>0.326 ✗</w:t>
            </w:r>
          </w:p>
        </w:tc>
      </w:tr>
    </w:tbl>
    <w:p>
      <w:pPr>
        <w:spacing w:after="80" w:line="360" w:lineRule="auto"/>
      </w:pPr>
      <w:r>
        <w:rPr>
          <w:rFonts w:ascii="微软雅黑" w:hAnsi="微软雅黑" w:eastAsia="微软雅黑"/>
          <w:b w:val="0"/>
          <w:color w:val="595959"/>
          <w:sz w:val="21"/>
        </w:rPr>
        <w:t>★ = 达到主要或预设次要终点显著性；✗ = 未达显著性。**主要终点（HDRS-17 均分改变）达到显著性；EQ-5D-3L 未达显著性但 FDA 认为该量表本身对轻度抑郁不敏感。**</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中国方案的样本量估算，可以直接以 Flow 的 Cohen's d = 0.37 作为参照效应量。按 α=0.025 单侧、power=80%、两组 1:1、d=0.37 计算，每组约需 116 例，总样本 232 例。若采用 CDE 常见的 α=0.05 双侧标准，样本可减到约 150 例总样本（可行）。</w:t>
      </w:r>
    </w:p>
    <w:p>
      <w:pPr>
        <w:spacing w:before="240" w:after="120"/>
      </w:pPr>
      <w:r>
        <w:rPr>
          <w:rFonts w:ascii="微软雅黑" w:hAnsi="微软雅黑" w:eastAsia="微软雅黑"/>
          <w:b/>
          <w:color w:val="365F91"/>
          <w:sz w:val="27"/>
        </w:rPr>
        <w:t>3.9 亚组分析</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984"/>
            <w:shd w:val="clear" w:color="auto" w:fill="1F497D"/>
            <w:vAlign w:val="center"/>
          </w:tcPr>
          <w:p>
            <w:pPr>
              <w:jc w:val="center"/>
            </w:pPr>
            <w:r/>
            <w:r>
              <w:rPr>
                <w:rFonts w:ascii="微软雅黑" w:hAnsi="微软雅黑" w:eastAsia="微软雅黑"/>
                <w:b/>
                <w:color w:val="FFFFFF"/>
                <w:sz w:val="20"/>
              </w:rPr>
              <w:t>亚组</w:t>
            </w:r>
          </w:p>
        </w:tc>
        <w:tc>
          <w:tcPr>
            <w:tcW w:type="dxa" w:w="1134"/>
            <w:shd w:val="clear" w:color="auto" w:fill="1F497D"/>
            <w:vAlign w:val="center"/>
          </w:tcPr>
          <w:p>
            <w:pPr>
              <w:jc w:val="center"/>
            </w:pPr>
            <w:r/>
            <w:r>
              <w:rPr>
                <w:rFonts w:ascii="微软雅黑" w:hAnsi="微软雅黑" w:eastAsia="微软雅黑"/>
                <w:b/>
                <w:color w:val="FFFFFF"/>
                <w:sz w:val="20"/>
              </w:rPr>
              <w:t>n</w:t>
            </w:r>
          </w:p>
        </w:tc>
        <w:tc>
          <w:tcPr>
            <w:tcW w:type="dxa" w:w="1984"/>
            <w:shd w:val="clear" w:color="auto" w:fill="1F497D"/>
            <w:vAlign w:val="center"/>
          </w:tcPr>
          <w:p>
            <w:pPr>
              <w:jc w:val="center"/>
            </w:pPr>
            <w:r/>
            <w:r>
              <w:rPr>
                <w:rFonts w:ascii="微软雅黑" w:hAnsi="微软雅黑" w:eastAsia="微软雅黑"/>
                <w:b/>
                <w:color w:val="FFFFFF"/>
                <w:sz w:val="20"/>
              </w:rPr>
              <w:t>HDRS-17 均分改变</w:t>
            </w:r>
          </w:p>
        </w:tc>
        <w:tc>
          <w:tcPr>
            <w:tcW w:type="dxa" w:w="1984"/>
            <w:shd w:val="clear" w:color="auto" w:fill="1F497D"/>
            <w:vAlign w:val="center"/>
          </w:tcPr>
          <w:p>
            <w:pPr>
              <w:jc w:val="center"/>
            </w:pPr>
            <w:r/>
            <w:r>
              <w:rPr>
                <w:rFonts w:ascii="微软雅黑" w:hAnsi="微软雅黑" w:eastAsia="微软雅黑"/>
                <w:b/>
                <w:color w:val="FFFFFF"/>
                <w:sz w:val="20"/>
              </w:rPr>
              <w:t>应答率</w:t>
            </w:r>
          </w:p>
        </w:tc>
        <w:tc>
          <w:tcPr>
            <w:tcW w:type="dxa" w:w="1984"/>
            <w:shd w:val="clear" w:color="auto" w:fill="1F497D"/>
            <w:vAlign w:val="center"/>
          </w:tcPr>
          <w:p>
            <w:pPr>
              <w:jc w:val="center"/>
            </w:pPr>
            <w:r/>
            <w:r>
              <w:rPr>
                <w:rFonts w:ascii="微软雅黑" w:hAnsi="微软雅黑" w:eastAsia="微软雅黑"/>
                <w:b/>
                <w:color w:val="FFFFFF"/>
                <w:sz w:val="20"/>
              </w:rPr>
              <w:t>缓解率</w:t>
            </w:r>
          </w:p>
        </w:tc>
      </w:tr>
      <w:tr>
        <w:tc>
          <w:tcPr>
            <w:tcW w:type="dxa" w:w="1984"/>
            <w:vAlign w:val="center"/>
          </w:tcPr>
          <w:p>
            <w:pPr>
              <w:jc w:val="left"/>
            </w:pPr>
            <w:r/>
            <w:r>
              <w:rPr>
                <w:rFonts w:ascii="微软雅黑" w:hAnsi="微软雅黑" w:eastAsia="微软雅黑"/>
                <w:b w:val="0"/>
                <w:sz w:val="19"/>
              </w:rPr>
              <w:t>单药治疗（Monotherapy）</w:t>
            </w:r>
          </w:p>
        </w:tc>
        <w:tc>
          <w:tcPr>
            <w:tcW w:type="dxa" w:w="1134"/>
            <w:vAlign w:val="center"/>
          </w:tcPr>
          <w:p>
            <w:pPr>
              <w:jc w:val="left"/>
            </w:pPr>
            <w:r/>
            <w:r>
              <w:rPr>
                <w:rFonts w:ascii="微软雅黑" w:hAnsi="微软雅黑" w:eastAsia="微软雅黑"/>
                <w:b w:val="0"/>
                <w:sz w:val="19"/>
              </w:rPr>
              <w:t>n=52（23 vs 29）</w:t>
            </w:r>
          </w:p>
        </w:tc>
        <w:tc>
          <w:tcPr>
            <w:tcW w:type="dxa" w:w="1984"/>
            <w:vAlign w:val="center"/>
          </w:tcPr>
          <w:p>
            <w:pPr>
              <w:jc w:val="left"/>
            </w:pPr>
            <w:r/>
            <w:r>
              <w:rPr>
                <w:rFonts w:ascii="微软雅黑" w:hAnsi="微软雅黑" w:eastAsia="微软雅黑"/>
                <w:b w:val="0"/>
                <w:sz w:val="19"/>
              </w:rPr>
              <w:t>-9.7 vs -5.9（Δ=-3.8，d=0.56，p=0.0027）</w:t>
            </w:r>
          </w:p>
        </w:tc>
        <w:tc>
          <w:tcPr>
            <w:tcW w:type="dxa" w:w="1984"/>
            <w:vAlign w:val="center"/>
          </w:tcPr>
          <w:p>
            <w:pPr>
              <w:jc w:val="left"/>
            </w:pPr>
            <w:r/>
            <w:r>
              <w:rPr>
                <w:rFonts w:ascii="微软雅黑" w:hAnsi="微软雅黑" w:eastAsia="微软雅黑"/>
                <w:b w:val="0"/>
                <w:sz w:val="19"/>
              </w:rPr>
              <w:t>47.8% vs 13.8%（OR=5.76，p&lt;0.0001）</w:t>
            </w:r>
          </w:p>
        </w:tc>
        <w:tc>
          <w:tcPr>
            <w:tcW w:type="dxa" w:w="1984"/>
            <w:vAlign w:val="center"/>
          </w:tcPr>
          <w:p>
            <w:pPr>
              <w:jc w:val="left"/>
            </w:pPr>
            <w:r/>
            <w:r>
              <w:rPr>
                <w:rFonts w:ascii="微软雅黑" w:hAnsi="微软雅黑" w:eastAsia="微软雅黑"/>
                <w:b w:val="0"/>
                <w:sz w:val="19"/>
              </w:rPr>
              <w:t>34.8% vs 13.8%（OR=3.29，p=0.0027）</w:t>
            </w:r>
          </w:p>
        </w:tc>
      </w:tr>
      <w:tr>
        <w:tc>
          <w:tcPr>
            <w:tcW w:type="dxa" w:w="1984"/>
            <w:vAlign w:val="center"/>
          </w:tcPr>
          <w:p>
            <w:pPr>
              <w:jc w:val="left"/>
            </w:pPr>
            <w:r/>
            <w:r>
              <w:rPr>
                <w:rFonts w:ascii="微软雅黑" w:hAnsi="微软雅黑" w:eastAsia="微软雅黑"/>
                <w:b w:val="0"/>
                <w:sz w:val="19"/>
              </w:rPr>
              <w:t>辅助治疗（合用抗抑郁药）</w:t>
            </w:r>
          </w:p>
        </w:tc>
        <w:tc>
          <w:tcPr>
            <w:tcW w:type="dxa" w:w="1134"/>
            <w:vAlign w:val="center"/>
          </w:tcPr>
          <w:p>
            <w:pPr>
              <w:jc w:val="left"/>
            </w:pPr>
            <w:r/>
            <w:r>
              <w:rPr>
                <w:rFonts w:ascii="微软雅黑" w:hAnsi="微软雅黑" w:eastAsia="微软雅黑"/>
                <w:b w:val="0"/>
                <w:sz w:val="19"/>
              </w:rPr>
              <w:t>n=109（56 vs 53）</w:t>
            </w:r>
          </w:p>
        </w:tc>
        <w:tc>
          <w:tcPr>
            <w:tcW w:type="dxa" w:w="1984"/>
            <w:vAlign w:val="center"/>
          </w:tcPr>
          <w:p>
            <w:pPr>
              <w:jc w:val="left"/>
            </w:pPr>
            <w:r/>
            <w:r>
              <w:rPr>
                <w:rFonts w:ascii="微软雅黑" w:hAnsi="微软雅黑" w:eastAsia="微软雅黑"/>
                <w:b w:val="0"/>
                <w:sz w:val="19"/>
              </w:rPr>
              <w:t>-10.6 vs -7.8（Δ=-2.8，d=0.46，p=0.019）</w:t>
            </w:r>
          </w:p>
        </w:tc>
        <w:tc>
          <w:tcPr>
            <w:tcW w:type="dxa" w:w="1984"/>
            <w:vAlign w:val="center"/>
          </w:tcPr>
          <w:p>
            <w:pPr>
              <w:jc w:val="left"/>
            </w:pPr>
            <w:r/>
            <w:r>
              <w:rPr>
                <w:rFonts w:ascii="微软雅黑" w:hAnsi="微软雅黑" w:eastAsia="微软雅黑"/>
                <w:b w:val="0"/>
                <w:sz w:val="19"/>
              </w:rPr>
              <w:t>63.2% vs 35.4%（OR=3.14，p=0.010）</w:t>
            </w:r>
          </w:p>
        </w:tc>
        <w:tc>
          <w:tcPr>
            <w:tcW w:type="dxa" w:w="1984"/>
            <w:vAlign w:val="center"/>
          </w:tcPr>
          <w:p>
            <w:pPr>
              <w:jc w:val="left"/>
            </w:pPr>
            <w:r/>
            <w:r>
              <w:rPr>
                <w:rFonts w:ascii="微软雅黑" w:hAnsi="微软雅黑" w:eastAsia="微软雅黑"/>
                <w:b w:val="0"/>
                <w:sz w:val="19"/>
              </w:rPr>
              <w:t>53.1% vs 25.5%（OR=3.33，p=0.009）</w:t>
            </w:r>
          </w:p>
        </w:tc>
      </w:tr>
    </w:tbl>
    <w:p>
      <w:pPr>
        <w:spacing w:after="80" w:line="360" w:lineRule="auto"/>
        <w:ind w:firstLine="420"/>
      </w:pPr>
      <w:r>
        <w:rPr>
          <w:rFonts w:ascii="微软雅黑" w:hAnsi="微软雅黑" w:eastAsia="微软雅黑"/>
          <w:b/>
          <w:sz w:val="21"/>
        </w:rPr>
        <w:t>**关键结论**：无论单药还是辅助治疗，Active 组均显著优于 Sham。性别、年龄、种族、中心、基线 HDRS-17 均未见交互作用，数据可合并分析。</w:t>
      </w:r>
    </w:p>
    <w:p>
      <w:pPr>
        <w:spacing w:before="240" w:after="120"/>
      </w:pPr>
      <w:r>
        <w:rPr>
          <w:rFonts w:ascii="微软雅黑" w:hAnsi="微软雅黑" w:eastAsia="微软雅黑"/>
          <w:b/>
          <w:color w:val="365F91"/>
          <w:sz w:val="27"/>
        </w:rPr>
        <w:t>3.10 设盲评估（重要 FDA 关切）</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shd w:val="clear" w:color="auto" w:fill="1F497D"/>
            <w:vAlign w:val="center"/>
          </w:tcPr>
          <w:p>
            <w:pPr>
              <w:jc w:val="center"/>
            </w:pPr>
            <w:r/>
            <w:r>
              <w:rPr>
                <w:rFonts w:ascii="微软雅黑" w:hAnsi="微软雅黑" w:eastAsia="微软雅黑"/>
                <w:b/>
                <w:color w:val="FFFFFF"/>
                <w:sz w:val="20"/>
              </w:rPr>
              <w:t>真实组</w:t>
            </w:r>
          </w:p>
        </w:tc>
        <w:tc>
          <w:tcPr>
            <w:tcW w:type="dxa" w:w="3118"/>
            <w:shd w:val="clear" w:color="auto" w:fill="1F497D"/>
            <w:vAlign w:val="center"/>
          </w:tcPr>
          <w:p>
            <w:pPr>
              <w:jc w:val="center"/>
            </w:pPr>
            <w:r/>
            <w:r>
              <w:rPr>
                <w:rFonts w:ascii="微软雅黑" w:hAnsi="微软雅黑" w:eastAsia="微软雅黑"/>
                <w:b/>
                <w:color w:val="FFFFFF"/>
                <w:sz w:val="20"/>
              </w:rPr>
              <w:t>猜"Active"</w:t>
            </w:r>
          </w:p>
        </w:tc>
        <w:tc>
          <w:tcPr>
            <w:tcW w:type="dxa" w:w="3118"/>
            <w:shd w:val="clear" w:color="auto" w:fill="1F497D"/>
            <w:vAlign w:val="center"/>
          </w:tcPr>
          <w:p>
            <w:pPr>
              <w:jc w:val="center"/>
            </w:pPr>
            <w:r/>
            <w:r>
              <w:rPr>
                <w:rFonts w:ascii="微软雅黑" w:hAnsi="微软雅黑" w:eastAsia="微软雅黑"/>
                <w:b/>
                <w:color w:val="FFFFFF"/>
                <w:sz w:val="20"/>
              </w:rPr>
              <w:t>猜"Sham"</w:t>
            </w:r>
          </w:p>
        </w:tc>
      </w:tr>
      <w:tr>
        <w:tc>
          <w:tcPr>
            <w:tcW w:type="dxa" w:w="2835"/>
            <w:vAlign w:val="center"/>
          </w:tcPr>
          <w:p>
            <w:pPr>
              <w:jc w:val="left"/>
            </w:pPr>
            <w:r/>
            <w:r>
              <w:rPr>
                <w:rFonts w:ascii="微软雅黑" w:hAnsi="微软雅黑" w:eastAsia="微软雅黑"/>
                <w:b w:val="0"/>
                <w:sz w:val="19"/>
              </w:rPr>
              <w:t>真实分组 Active</w:t>
            </w:r>
          </w:p>
        </w:tc>
        <w:tc>
          <w:tcPr>
            <w:tcW w:type="dxa" w:w="3118"/>
            <w:vAlign w:val="center"/>
          </w:tcPr>
          <w:p>
            <w:pPr>
              <w:jc w:val="left"/>
            </w:pPr>
            <w:r/>
            <w:r>
              <w:rPr>
                <w:rFonts w:ascii="微软雅黑" w:hAnsi="微软雅黑" w:eastAsia="微软雅黑"/>
                <w:b w:val="0"/>
                <w:sz w:val="19"/>
              </w:rPr>
              <w:t>77.6% 猜对（Active）</w:t>
            </w:r>
          </w:p>
        </w:tc>
        <w:tc>
          <w:tcPr>
            <w:tcW w:type="dxa" w:w="3118"/>
            <w:vAlign w:val="center"/>
          </w:tcPr>
          <w:p>
            <w:pPr>
              <w:jc w:val="left"/>
            </w:pPr>
            <w:r/>
            <w:r>
              <w:rPr>
                <w:rFonts w:ascii="微软雅黑" w:hAnsi="微软雅黑" w:eastAsia="微软雅黑"/>
                <w:b w:val="0"/>
                <w:sz w:val="19"/>
              </w:rPr>
              <w:t>22.4% 猜错（Sham）</w:t>
            </w:r>
          </w:p>
        </w:tc>
      </w:tr>
      <w:tr>
        <w:tc>
          <w:tcPr>
            <w:tcW w:type="dxa" w:w="2835"/>
            <w:vAlign w:val="center"/>
          </w:tcPr>
          <w:p>
            <w:pPr>
              <w:jc w:val="left"/>
            </w:pPr>
            <w:r/>
            <w:r>
              <w:rPr>
                <w:rFonts w:ascii="微软雅黑" w:hAnsi="微软雅黑" w:eastAsia="微软雅黑"/>
                <w:b w:val="0"/>
                <w:sz w:val="19"/>
              </w:rPr>
              <w:t>真实分组 Sham</w:t>
            </w:r>
          </w:p>
        </w:tc>
        <w:tc>
          <w:tcPr>
            <w:tcW w:type="dxa" w:w="3118"/>
            <w:vAlign w:val="center"/>
          </w:tcPr>
          <w:p>
            <w:pPr>
              <w:jc w:val="left"/>
            </w:pPr>
            <w:r/>
            <w:r>
              <w:rPr>
                <w:rFonts w:ascii="微软雅黑" w:hAnsi="微软雅黑" w:eastAsia="微软雅黑"/>
                <w:b w:val="0"/>
                <w:sz w:val="19"/>
              </w:rPr>
              <w:t>40.7% 猜对（Sham）</w:t>
            </w:r>
          </w:p>
        </w:tc>
        <w:tc>
          <w:tcPr>
            <w:tcW w:type="dxa" w:w="3118"/>
            <w:vAlign w:val="center"/>
          </w:tcPr>
          <w:p>
            <w:pPr>
              <w:jc w:val="left"/>
            </w:pPr>
            <w:r/>
            <w:r>
              <w:rPr>
                <w:rFonts w:ascii="微软雅黑" w:hAnsi="微软雅黑" w:eastAsia="微软雅黑"/>
                <w:b w:val="0"/>
                <w:sz w:val="19"/>
              </w:rPr>
              <w:t>59.3% 猜错（Active）</w:t>
            </w:r>
          </w:p>
        </w:tc>
      </w:tr>
    </w:tbl>
    <w:p>
      <w:pPr>
        <w:spacing w:after="80" w:line="360" w:lineRule="auto"/>
        <w:ind w:firstLine="420"/>
      </w:pPr>
      <w:r>
        <w:rPr>
          <w:rFonts w:ascii="微软雅黑" w:hAnsi="微软雅黑" w:eastAsia="微软雅黑"/>
          <w:b w:val="0"/>
          <w:sz w:val="21"/>
        </w:rPr>
        <w:t>组间差异 p=0.012——**设盲失败**（active 组显著感知到自己在接受真实治疗）。FDA 通过"correct guess rate 调整分析"（CGR）进一步验证：即使假设猜测完全平衡，HDRS-17 组间差值仍为 -2.0 至 -2.12 分，与原始 -2.3 分接近，因此结论不变。</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**这是 tDCS 类临床方案设计的最大挑战**。中国方案可考虑：（1）使用相同的标准 sham 方案（升至 1 mA 再降至 0），并在方案中明确"设盲评估"作为独立次要终点；（2）预先规划 CGR 敏感性分析并写入 SAP；（3）注意受试者是否可感知刺激强度差异，纳入"感知强度问卷"作为盲态质控指标。这些前置准备可在 CDE 审评时主动解释，避免"审评发补"。</w:t>
      </w:r>
    </w:p>
    <w:p>
      <w:pPr>
        <w:spacing w:before="240" w:after="120"/>
      </w:pPr>
      <w:r>
        <w:rPr>
          <w:rFonts w:ascii="微软雅黑" w:hAnsi="微软雅黑" w:eastAsia="微软雅黑"/>
          <w:b/>
          <w:color w:val="365F91"/>
          <w:sz w:val="27"/>
        </w:rPr>
        <w:t>3.11 安全性主要发现</w:t>
      </w:r>
    </w:p>
    <w:p>
      <w:pPr>
        <w:pStyle w:val="ListBullet"/>
        <w:spacing w:after="40" w:line="360" w:lineRule="auto"/>
      </w:pPr>
      <w:r>
        <w:rPr>
          <w:rFonts w:ascii="微软雅黑" w:hAnsi="微软雅黑" w:eastAsia="微软雅黑"/>
          <w:b w:val="0"/>
          <w:sz w:val="21"/>
        </w:rPr>
        <w:t>**无严重不良事件（SAE）归因于设备**——173 例仅 1 例高血压 SAE（active 组），审评认为与设备无关</w:t>
      </w:r>
    </w:p>
    <w:p>
      <w:pPr>
        <w:pStyle w:val="ListBullet"/>
        <w:spacing w:after="40" w:line="360" w:lineRule="auto"/>
      </w:pPr>
      <w:r>
        <w:rPr>
          <w:rFonts w:ascii="微软雅黑" w:hAnsi="微软雅黑" w:eastAsia="微软雅黑"/>
          <w:b w:val="0"/>
          <w:sz w:val="21"/>
        </w:rPr>
        <w:t>不良事件发生率：Active 组 70.1% vs Sham 组 59.3%</w:t>
      </w:r>
    </w:p>
    <w:p>
      <w:pPr>
        <w:pStyle w:val="ListBullet"/>
        <w:spacing w:after="40" w:line="360" w:lineRule="auto"/>
      </w:pPr>
      <w:r>
        <w:rPr>
          <w:rFonts w:ascii="微软雅黑" w:hAnsi="微软雅黑" w:eastAsia="微软雅黑"/>
          <w:b w:val="0"/>
          <w:sz w:val="21"/>
        </w:rPr>
        <w:t>最常见 AE（Active% vs Sham%）：皮肤红斑 63.5% vs 18.5%；瘙痒 50.6% vs 43.2%；烧灼感 43.5% vs 38.3%；头痛 42.4% vs 35.8%；头皮痛 21.2% vs 12.3%</w:t>
      </w:r>
    </w:p>
    <w:p>
      <w:pPr>
        <w:pStyle w:val="ListBullet"/>
        <w:spacing w:after="40" w:line="360" w:lineRule="auto"/>
      </w:pPr>
      <w:r>
        <w:rPr>
          <w:rFonts w:ascii="微软雅黑" w:hAnsi="微软雅黑" w:eastAsia="微软雅黑"/>
          <w:b w:val="0"/>
          <w:sz w:val="21"/>
        </w:rPr>
        <w:t>2 例一级皮肤烧伤（Active 组），均因电极片干燥导致，休息数日后恢复</w:t>
      </w:r>
    </w:p>
    <w:p>
      <w:pPr>
        <w:pStyle w:val="ListBullet"/>
        <w:spacing w:after="40" w:line="360" w:lineRule="auto"/>
      </w:pPr>
      <w:r>
        <w:rPr>
          <w:rFonts w:ascii="微软雅黑" w:hAnsi="微软雅黑" w:eastAsia="微软雅黑"/>
          <w:b w:val="0"/>
          <w:sz w:val="21"/>
        </w:rPr>
        <w:t>无狂躁、轻躁狂、自杀相关事件</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Starstim 中国方案的 AE 收集清单可完全参照 Flow 的 Adverse Events Questionnaire（AEQ），按 MedDRA 编码上报。皮肤类 AE 是 tDCS 类必然出现的可预期风险，可在知情同意书中充分告知。</w:t>
      </w:r>
    </w:p>
    <w:p>
      <w:pPr>
        <w:spacing w:before="240" w:after="120"/>
      </w:pPr>
      <w:r>
        <w:rPr>
          <w:rFonts w:ascii="微软雅黑" w:hAnsi="微软雅黑" w:eastAsia="微软雅黑"/>
          <w:b/>
          <w:color w:val="365F91"/>
          <w:sz w:val="27"/>
        </w:rPr>
        <w:t>3.12 开放标签期结果</w:t>
      </w:r>
    </w:p>
    <w:p>
      <w:pPr>
        <w:pStyle w:val="ListBullet"/>
        <w:spacing w:after="40" w:line="360" w:lineRule="auto"/>
      </w:pPr>
      <w:r>
        <w:rPr>
          <w:rFonts w:ascii="微软雅黑" w:hAnsi="微软雅黑" w:eastAsia="微软雅黑"/>
          <w:b w:val="0"/>
          <w:sz w:val="21"/>
        </w:rPr>
        <w:t>Active 组 55/87 完成开放标签期（63.2%）；Sham 组 56/86 完成</w:t>
      </w:r>
    </w:p>
    <w:p>
      <w:pPr>
        <w:pStyle w:val="ListBullet"/>
        <w:spacing w:after="40" w:line="360" w:lineRule="auto"/>
      </w:pPr>
      <w:r>
        <w:rPr>
          <w:rFonts w:ascii="微软雅黑" w:hAnsi="微软雅黑" w:eastAsia="微软雅黑"/>
          <w:b w:val="0"/>
          <w:sz w:val="21"/>
        </w:rPr>
        <w:t>Active 组 Week 10 应答者 31 例中 30 例（97%）在 Week 20 仍为应答者——**疗效可维持**</w:t>
      </w:r>
    </w:p>
    <w:p>
      <w:pPr>
        <w:pStyle w:val="ListBullet"/>
        <w:spacing w:after="40" w:line="360" w:lineRule="auto"/>
      </w:pPr>
      <w:r>
        <w:rPr>
          <w:rFonts w:ascii="微软雅黑" w:hAnsi="微软雅黑" w:eastAsia="微软雅黑"/>
          <w:b w:val="0"/>
          <w:sz w:val="21"/>
        </w:rPr>
        <w:t>Active 组 Week 10 非应答者 24 例中 9 例（38%）在 Week 20 转为应答者——**延长治疗可能改善**</w:t>
      </w:r>
    </w:p>
    <w:p>
      <w:pPr>
        <w:pStyle w:val="ListBullet"/>
        <w:spacing w:after="40" w:line="360" w:lineRule="auto"/>
      </w:pPr>
      <w:r>
        <w:rPr>
          <w:rFonts w:ascii="微软雅黑" w:hAnsi="微软雅黑" w:eastAsia="微软雅黑"/>
          <w:b w:val="0"/>
          <w:sz w:val="21"/>
        </w:rPr>
        <w:t>开放标签期无 SAE</w:t>
      </w:r>
    </w:p>
    <w:p>
      <w:r>
        <w:br w:type="page"/>
      </w:r>
    </w:p>
    <w:p>
      <w:pPr>
        <w:spacing w:before="240" w:after="120"/>
      </w:pPr>
      <w:r>
        <w:rPr>
          <w:rFonts w:ascii="微软雅黑" w:hAnsi="微软雅黑" w:eastAsia="微软雅黑"/>
          <w:b/>
          <w:color w:val="1F497D"/>
          <w:sz w:val="32"/>
        </w:rPr>
        <w:t>第四章 补充临床研究：PSYLECT（阴性结果的教训）</w:t>
      </w:r>
    </w:p>
    <w:p>
      <w:pPr>
        <w:spacing w:after="40"/>
        <w:ind w:left="280"/>
      </w:pPr>
      <w:r>
        <w:rPr>
          <w:rFonts w:ascii="微软雅黑" w:hAnsi="微软雅黑" w:eastAsia="微软雅黑"/>
          <w:b/>
          <w:color w:val="C00000"/>
          <w:sz w:val="19"/>
        </w:rPr>
        <w:t xml:space="preserve">[原文出处] </w:t>
      </w:r>
      <w:r>
        <w:rPr>
          <w:rFonts w:ascii="微软雅黑" w:hAnsi="微软雅黑" w:eastAsia="微软雅黑"/>
          <w:b w:val="0"/>
          <w:color w:val="595959"/>
          <w:sz w:val="19"/>
        </w:rPr>
        <w:t>FDA SSED §XIII；Borrione L, et al. Home-Use tDCS for MDD: A Randomized Clinical Trial. JAMA Psychiatry 2024;81(4):329-337, DOI 10.1001/jamapsychiatry.2023.4948；NCT04889976</w:t>
      </w:r>
    </w:p>
    <w:p>
      <w:pPr>
        <w:spacing w:before="240" w:after="120"/>
      </w:pPr>
      <w:r>
        <w:rPr>
          <w:rFonts w:ascii="微软雅黑" w:hAnsi="微软雅黑" w:eastAsia="微软雅黑"/>
          <w:b/>
          <w:color w:val="365F91"/>
          <w:sz w:val="27"/>
        </w:rPr>
        <w:t>4.1 试验概况</w:t>
      </w:r>
    </w:p>
    <w:tbl>
      <w:tblPr>
        <w:tblStyle w:val="LightGrid-Accent1"/>
        <w:tblW w:type="auto" w:w="0"/>
        <w:jc w:val="center"/>
        <w:tblLook w:firstColumn="1" w:firstRow="1" w:lastColumn="0" w:lastRow="0" w:noHBand="0" w:noVBand="1" w:val="04A0"/>
      </w:tblPr>
      <w:tblGrid>
        <w:gridCol w:w="4703"/>
        <w:gridCol w:w="4703"/>
      </w:tblGrid>
      <w:tr>
        <w:tc>
          <w:tcPr>
            <w:tcW w:type="dxa" w:w="2268"/>
            <w:shd w:val="clear" w:color="auto" w:fill="1F497D"/>
            <w:vAlign w:val="center"/>
          </w:tcPr>
          <w:p>
            <w:pPr>
              <w:jc w:val="center"/>
            </w:pPr>
            <w:r/>
            <w:r>
              <w:rPr>
                <w:rFonts w:ascii="微软雅黑" w:hAnsi="微软雅黑" w:eastAsia="微软雅黑"/>
                <w:b/>
                <w:color w:val="FFFFFF"/>
                <w:sz w:val="20"/>
              </w:rPr>
              <w:t>项目</w:t>
            </w:r>
          </w:p>
        </w:tc>
        <w:tc>
          <w:tcPr>
            <w:tcW w:type="dxa" w:w="6803"/>
            <w:shd w:val="clear" w:color="auto" w:fill="1F497D"/>
            <w:vAlign w:val="center"/>
          </w:tcPr>
          <w:p>
            <w:pPr>
              <w:jc w:val="center"/>
            </w:pPr>
            <w:r/>
            <w:r>
              <w:rPr>
                <w:rFonts w:ascii="微软雅黑" w:hAnsi="微软雅黑" w:eastAsia="微软雅黑"/>
                <w:b/>
                <w:color w:val="FFFFFF"/>
                <w:sz w:val="20"/>
              </w:rPr>
              <w:t>内容</w:t>
            </w:r>
          </w:p>
        </w:tc>
      </w:tr>
      <w:tr>
        <w:tc>
          <w:tcPr>
            <w:tcW w:type="dxa" w:w="2268"/>
            <w:vAlign w:val="center"/>
          </w:tcPr>
          <w:p>
            <w:pPr>
              <w:jc w:val="left"/>
            </w:pPr>
            <w:r/>
            <w:r>
              <w:rPr>
                <w:rFonts w:ascii="微软雅黑" w:hAnsi="微软雅黑" w:eastAsia="微软雅黑"/>
                <w:b w:val="0"/>
                <w:sz w:val="19"/>
              </w:rPr>
              <w:t>试验名称</w:t>
            </w:r>
          </w:p>
        </w:tc>
        <w:tc>
          <w:tcPr>
            <w:tcW w:type="dxa" w:w="6803"/>
            <w:vAlign w:val="center"/>
          </w:tcPr>
          <w:p>
            <w:pPr>
              <w:jc w:val="left"/>
            </w:pPr>
            <w:r/>
            <w:r>
              <w:rPr>
                <w:rFonts w:ascii="微软雅黑" w:hAnsi="微软雅黑" w:eastAsia="微软雅黑"/>
                <w:b w:val="0"/>
                <w:sz w:val="19"/>
              </w:rPr>
              <w:t>PSYLECT（Portable Transcranial Electrical Stimulation and Internet-Based Behavioral Therapy for MDD Study）</w:t>
            </w:r>
          </w:p>
        </w:tc>
      </w:tr>
      <w:tr>
        <w:tc>
          <w:tcPr>
            <w:tcW w:type="dxa" w:w="2268"/>
            <w:vAlign w:val="center"/>
          </w:tcPr>
          <w:p>
            <w:pPr>
              <w:jc w:val="left"/>
            </w:pPr>
            <w:r/>
            <w:r>
              <w:rPr>
                <w:rFonts w:ascii="微软雅黑" w:hAnsi="微软雅黑" w:eastAsia="微软雅黑"/>
                <w:b w:val="0"/>
                <w:sz w:val="19"/>
              </w:rPr>
              <w:t>NCT 编号</w:t>
            </w:r>
          </w:p>
        </w:tc>
        <w:tc>
          <w:tcPr>
            <w:tcW w:type="dxa" w:w="6803"/>
            <w:vAlign w:val="center"/>
          </w:tcPr>
          <w:p>
            <w:pPr>
              <w:jc w:val="left"/>
            </w:pPr>
            <w:r/>
            <w:r>
              <w:rPr>
                <w:rFonts w:ascii="微软雅黑" w:hAnsi="微软雅黑" w:eastAsia="微软雅黑"/>
                <w:b w:val="0"/>
                <w:sz w:val="19"/>
              </w:rPr>
              <w:t>NCT04889976</w:t>
            </w:r>
          </w:p>
        </w:tc>
      </w:tr>
      <w:tr>
        <w:tc>
          <w:tcPr>
            <w:tcW w:type="dxa" w:w="2268"/>
            <w:vAlign w:val="center"/>
          </w:tcPr>
          <w:p>
            <w:pPr>
              <w:jc w:val="left"/>
            </w:pPr>
            <w:r/>
            <w:r>
              <w:rPr>
                <w:rFonts w:ascii="微软雅黑" w:hAnsi="微软雅黑" w:eastAsia="微软雅黑"/>
                <w:b w:val="0"/>
                <w:sz w:val="19"/>
              </w:rPr>
              <w:t>中心</w:t>
            </w:r>
          </w:p>
        </w:tc>
        <w:tc>
          <w:tcPr>
            <w:tcW w:type="dxa" w:w="6803"/>
            <w:vAlign w:val="center"/>
          </w:tcPr>
          <w:p>
            <w:pPr>
              <w:jc w:val="left"/>
            </w:pPr>
            <w:r/>
            <w:r>
              <w:rPr>
                <w:rFonts w:ascii="微软雅黑" w:hAnsi="微软雅黑" w:eastAsia="微软雅黑"/>
                <w:b w:val="0"/>
                <w:sz w:val="19"/>
              </w:rPr>
              <w:t>巴西圣保罗大学附属医院（Hospital Universitário，单中心）</w:t>
            </w:r>
          </w:p>
        </w:tc>
      </w:tr>
      <w:tr>
        <w:tc>
          <w:tcPr>
            <w:tcW w:type="dxa" w:w="2268"/>
            <w:vAlign w:val="center"/>
          </w:tcPr>
          <w:p>
            <w:pPr>
              <w:jc w:val="left"/>
            </w:pPr>
            <w:r/>
            <w:r>
              <w:rPr>
                <w:rFonts w:ascii="微软雅黑" w:hAnsi="微软雅黑" w:eastAsia="微软雅黑"/>
                <w:b w:val="0"/>
                <w:sz w:val="19"/>
              </w:rPr>
              <w:t>设计</w:t>
            </w:r>
          </w:p>
        </w:tc>
        <w:tc>
          <w:tcPr>
            <w:tcW w:type="dxa" w:w="6803"/>
            <w:vAlign w:val="center"/>
          </w:tcPr>
          <w:p>
            <w:pPr>
              <w:jc w:val="left"/>
            </w:pPr>
            <w:r/>
            <w:r>
              <w:rPr>
                <w:rFonts w:ascii="微软雅黑" w:hAnsi="微软雅黑" w:eastAsia="微软雅黑"/>
                <w:b w:val="0"/>
                <w:sz w:val="19"/>
              </w:rPr>
              <w:t>单中心 3 臂 RCT 双盲 sham 对照</w:t>
            </w:r>
          </w:p>
        </w:tc>
      </w:tr>
      <w:tr>
        <w:tc>
          <w:tcPr>
            <w:tcW w:type="dxa" w:w="2268"/>
            <w:vAlign w:val="center"/>
          </w:tcPr>
          <w:p>
            <w:pPr>
              <w:jc w:val="left"/>
            </w:pPr>
            <w:r/>
            <w:r>
              <w:rPr>
                <w:rFonts w:ascii="微软雅黑" w:hAnsi="微软雅黑" w:eastAsia="微软雅黑"/>
                <w:b w:val="0"/>
                <w:sz w:val="19"/>
              </w:rPr>
              <w:t>样本量</w:t>
            </w:r>
          </w:p>
        </w:tc>
        <w:tc>
          <w:tcPr>
            <w:tcW w:type="dxa" w:w="6803"/>
            <w:vAlign w:val="center"/>
          </w:tcPr>
          <w:p>
            <w:pPr>
              <w:jc w:val="left"/>
            </w:pPr>
            <w:r/>
            <w:r>
              <w:rPr>
                <w:rFonts w:ascii="微软雅黑" w:hAnsi="微软雅黑" w:eastAsia="微软雅黑"/>
                <w:b w:val="0"/>
                <w:sz w:val="19"/>
              </w:rPr>
              <w:t>210 例入组（180 女、平均 38.9 岁），199 例完成</w:t>
            </w:r>
          </w:p>
        </w:tc>
      </w:tr>
      <w:tr>
        <w:tc>
          <w:tcPr>
            <w:tcW w:type="dxa" w:w="2268"/>
            <w:vAlign w:val="center"/>
          </w:tcPr>
          <w:p>
            <w:pPr>
              <w:jc w:val="left"/>
            </w:pPr>
            <w:r/>
            <w:r>
              <w:rPr>
                <w:rFonts w:ascii="微软雅黑" w:hAnsi="微软雅黑" w:eastAsia="微软雅黑"/>
                <w:b w:val="0"/>
                <w:sz w:val="19"/>
              </w:rPr>
              <w:t>3 臂设置</w:t>
            </w:r>
          </w:p>
        </w:tc>
        <w:tc>
          <w:tcPr>
            <w:tcW w:type="dxa" w:w="6803"/>
            <w:vAlign w:val="center"/>
          </w:tcPr>
          <w:p>
            <w:pPr>
              <w:jc w:val="left"/>
            </w:pPr>
            <w:r/>
            <w:r>
              <w:rPr>
                <w:rFonts w:ascii="微软雅黑" w:hAnsi="微软雅黑" w:eastAsia="微软雅黑"/>
                <w:b w:val="0"/>
                <w:sz w:val="19"/>
              </w:rPr>
              <w:t>（1）双阳性 tDCS + iBT；（2）tDCS + sham iBT；（3）双 sham</w:t>
            </w:r>
          </w:p>
        </w:tc>
      </w:tr>
      <w:tr>
        <w:tc>
          <w:tcPr>
            <w:tcW w:type="dxa" w:w="2268"/>
            <w:vAlign w:val="center"/>
          </w:tcPr>
          <w:p>
            <w:pPr>
              <w:jc w:val="left"/>
            </w:pPr>
            <w:r/>
            <w:r>
              <w:rPr>
                <w:rFonts w:ascii="微软雅黑" w:hAnsi="微软雅黑" w:eastAsia="微软雅黑"/>
                <w:b w:val="0"/>
                <w:sz w:val="19"/>
              </w:rPr>
              <w:t>刺激方案</w:t>
            </w:r>
          </w:p>
        </w:tc>
        <w:tc>
          <w:tcPr>
            <w:tcW w:type="dxa" w:w="6803"/>
            <w:vAlign w:val="center"/>
          </w:tcPr>
          <w:p>
            <w:pPr>
              <w:jc w:val="left"/>
            </w:pPr>
            <w:r/>
            <w:r>
              <w:rPr>
                <w:rFonts w:ascii="微软雅黑" w:hAnsi="微软雅黑" w:eastAsia="微软雅黑"/>
                <w:b w:val="0"/>
                <w:sz w:val="19"/>
              </w:rPr>
              <w:t>2 mA × 30 min × 15 个连续工作日 + 之后 3 周每周 2 次；Sham 为 1 mA × 90 s</w:t>
            </w:r>
          </w:p>
        </w:tc>
      </w:tr>
      <w:tr>
        <w:tc>
          <w:tcPr>
            <w:tcW w:type="dxa" w:w="2268"/>
            <w:vAlign w:val="center"/>
          </w:tcPr>
          <w:p>
            <w:pPr>
              <w:jc w:val="left"/>
            </w:pPr>
            <w:r/>
            <w:r>
              <w:rPr>
                <w:rFonts w:ascii="微软雅黑" w:hAnsi="微软雅黑" w:eastAsia="微软雅黑"/>
                <w:b w:val="0"/>
                <w:sz w:val="19"/>
              </w:rPr>
              <w:t>主要终点</w:t>
            </w:r>
          </w:p>
        </w:tc>
        <w:tc>
          <w:tcPr>
            <w:tcW w:type="dxa" w:w="6803"/>
            <w:vAlign w:val="center"/>
          </w:tcPr>
          <w:p>
            <w:pPr>
              <w:jc w:val="left"/>
            </w:pPr>
            <w:r/>
            <w:r>
              <w:rPr>
                <w:rFonts w:ascii="微软雅黑" w:hAnsi="微软雅黑" w:eastAsia="微软雅黑"/>
                <w:b w:val="0"/>
                <w:sz w:val="19"/>
              </w:rPr>
              <w:t>Week 6 HDRS-17 分数改变</w:t>
            </w:r>
          </w:p>
        </w:tc>
      </w:tr>
    </w:tbl>
    <w:p>
      <w:pPr>
        <w:spacing w:before="240" w:after="120"/>
      </w:pPr>
      <w:r>
        <w:rPr>
          <w:rFonts w:ascii="微软雅黑" w:hAnsi="微软雅黑" w:eastAsia="微软雅黑"/>
          <w:b/>
          <w:color w:val="365F91"/>
          <w:sz w:val="27"/>
        </w:rPr>
        <w:t>4.2 结果（阴性）</w:t>
      </w:r>
    </w:p>
    <w:p>
      <w:pPr>
        <w:pStyle w:val="ListBullet"/>
        <w:spacing w:after="40" w:line="360" w:lineRule="auto"/>
      </w:pPr>
      <w:r>
        <w:rPr>
          <w:rFonts w:ascii="微软雅黑" w:hAnsi="微软雅黑" w:eastAsia="微软雅黑"/>
          <w:b w:val="0"/>
          <w:sz w:val="21"/>
        </w:rPr>
        <w:t>双阳性 vs 仅 tDCS：Cohen's d = 0.05（95%CI −0.48 – 0.58，p=0.86）</w:t>
      </w:r>
    </w:p>
    <w:p>
      <w:pPr>
        <w:pStyle w:val="ListBullet"/>
        <w:spacing w:after="40" w:line="360" w:lineRule="auto"/>
      </w:pPr>
      <w:r>
        <w:rPr>
          <w:rFonts w:ascii="微软雅黑" w:hAnsi="微软雅黑" w:eastAsia="微软雅黑"/>
          <w:b w:val="0"/>
          <w:sz w:val="21"/>
        </w:rPr>
        <w:t>双阳性 vs 双 sham：Cohen's d = -0.20（95%CI −0.73 – 0.34，p=0.47）</w:t>
      </w:r>
    </w:p>
    <w:p>
      <w:pPr>
        <w:pStyle w:val="ListBullet"/>
        <w:spacing w:after="40" w:line="360" w:lineRule="auto"/>
      </w:pPr>
      <w:r>
        <w:rPr>
          <w:rFonts w:ascii="微软雅黑" w:hAnsi="微软雅黑" w:eastAsia="微软雅黑"/>
          <w:b w:val="0"/>
          <w:sz w:val="21"/>
        </w:rPr>
        <w:t>仅 tDCS vs 双 sham：Cohen's d = -0.25（95%CI −0.76 – 0.27，p=0.35）</w:t>
      </w:r>
    </w:p>
    <w:p>
      <w:pPr>
        <w:pStyle w:val="ListBullet"/>
        <w:spacing w:after="40" w:line="360" w:lineRule="auto"/>
      </w:pPr>
      <w:r>
        <w:rPr>
          <w:rFonts w:ascii="微软雅黑" w:hAnsi="微软雅黑" w:eastAsia="微软雅黑"/>
          <w:b w:val="0"/>
          <w:sz w:val="21"/>
        </w:rPr>
        <w:t>皮肤红斑、烧灼感在 tDCS 组更常见</w:t>
      </w:r>
    </w:p>
    <w:p>
      <w:pPr>
        <w:pStyle w:val="ListBullet"/>
        <w:spacing w:after="40" w:line="360" w:lineRule="auto"/>
      </w:pPr>
      <w:r>
        <w:rPr>
          <w:rFonts w:ascii="微软雅黑" w:hAnsi="微软雅黑" w:eastAsia="微软雅黑"/>
          <w:b w:val="0"/>
          <w:sz w:val="21"/>
        </w:rPr>
        <w:t>1 例非致死自杀企图（仅 tDCS 组）</w:t>
      </w:r>
    </w:p>
    <w:p>
      <w:pPr>
        <w:pStyle w:val="ListBullet"/>
        <w:spacing w:after="40" w:line="360" w:lineRule="auto"/>
      </w:pPr>
      <w:r>
        <w:rPr>
          <w:rFonts w:ascii="微软雅黑" w:hAnsi="微软雅黑" w:eastAsia="微软雅黑"/>
          <w:b w:val="0"/>
          <w:sz w:val="21"/>
        </w:rPr>
        <w:t>**结论：无监督的家用 tDCS + 数字心理干预未证明优于 sham**</w:t>
      </w:r>
    </w:p>
    <w:p>
      <w:pPr>
        <w:spacing w:before="240" w:after="120"/>
      </w:pPr>
      <w:r>
        <w:rPr>
          <w:rFonts w:ascii="微软雅黑" w:hAnsi="微软雅黑" w:eastAsia="微软雅黑"/>
          <w:b/>
          <w:color w:val="365F91"/>
          <w:sz w:val="27"/>
        </w:rPr>
        <w:t>4.3 PSYLECT 阴性结果的教训</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FDA 审评中把 PSYLECT 列为"文献冲突结果"之一，是获益不确定性的来源之一。Starstim 中国方案应避开 PSYLECT 的失败点：（1）不要"无监督家用"——保留 CPP 医生端远程监督；（2）不要合并数字心理干预作为主要变量——单独评估 tDCS 效果；（3）不要单中心——多中心至少 3 家；（4）疗程要足够——PSYLECT 只 6 周略短，建议按 Empower 的 10 周设计。</w:t>
      </w:r>
    </w:p>
    <w:p>
      <w:r>
        <w:br w:type="page"/>
      </w:r>
    </w:p>
    <w:p>
      <w:pPr>
        <w:spacing w:before="240" w:after="120"/>
      </w:pPr>
      <w:r>
        <w:rPr>
          <w:rFonts w:ascii="微软雅黑" w:hAnsi="微软雅黑" w:eastAsia="微软雅黑"/>
          <w:b/>
          <w:color w:val="1F497D"/>
          <w:sz w:val="32"/>
        </w:rPr>
        <w:t>第五章 FDA 益处/风险决策逻辑</w:t>
      </w:r>
    </w:p>
    <w:p>
      <w:pPr>
        <w:spacing w:after="40"/>
        <w:ind w:left="280"/>
      </w:pPr>
      <w:r>
        <w:rPr>
          <w:rFonts w:ascii="微软雅黑" w:hAnsi="微软雅黑" w:eastAsia="微软雅黑"/>
          <w:b/>
          <w:color w:val="C00000"/>
          <w:sz w:val="19"/>
        </w:rPr>
        <w:t xml:space="preserve">[原文出处] </w:t>
      </w:r>
      <w:r>
        <w:rPr>
          <w:rFonts w:ascii="微软雅黑" w:hAnsi="微软雅黑" w:eastAsia="微软雅黑"/>
          <w:b w:val="0"/>
          <w:color w:val="595959"/>
          <w:sz w:val="19"/>
        </w:rPr>
        <w:t>FDA SSED §XV（Conclusions Drawn from Preclinical and Clinical Studies）</w:t>
      </w:r>
    </w:p>
    <w:p>
      <w:pPr>
        <w:spacing w:before="240" w:after="120"/>
      </w:pPr>
      <w:r>
        <w:rPr>
          <w:rFonts w:ascii="微软雅黑" w:hAnsi="微软雅黑" w:eastAsia="微软雅黑"/>
          <w:b/>
          <w:color w:val="365F91"/>
          <w:sz w:val="27"/>
        </w:rPr>
        <w:t>5.1 有效性结论</w:t>
      </w:r>
    </w:p>
    <w:p>
      <w:pPr>
        <w:pStyle w:val="ListBullet"/>
        <w:spacing w:after="40" w:line="360" w:lineRule="auto"/>
      </w:pPr>
      <w:r>
        <w:rPr>
          <w:rFonts w:ascii="微软雅黑" w:hAnsi="微软雅黑" w:eastAsia="微软雅黑"/>
          <w:b w:val="0"/>
          <w:sz w:val="21"/>
        </w:rPr>
        <w:t>HDRS-17 组间差 2.3 分虽达统计显著（p=0.012），但医学文献缺乏"临床显著变化阈值"共识，因此 FDA 只认为"支持有效性可能性"（probable benefit）而非"确证有效"</w:t>
      </w:r>
    </w:p>
    <w:p>
      <w:pPr>
        <w:pStyle w:val="ListBullet"/>
        <w:spacing w:after="40" w:line="360" w:lineRule="auto"/>
      </w:pPr>
      <w:r>
        <w:rPr>
          <w:rFonts w:ascii="微软雅黑" w:hAnsi="微软雅黑" w:eastAsia="微软雅黑"/>
          <w:b w:val="0"/>
          <w:sz w:val="21"/>
        </w:rPr>
        <w:t>预设的 HDRS-17 应答/缓解次要终点（多重性调整后）均显著</w:t>
      </w:r>
    </w:p>
    <w:p>
      <w:pPr>
        <w:pStyle w:val="ListBullet"/>
        <w:spacing w:after="40" w:line="360" w:lineRule="auto"/>
      </w:pPr>
      <w:r>
        <w:rPr>
          <w:rFonts w:ascii="微软雅黑" w:hAnsi="微软雅黑" w:eastAsia="微软雅黑"/>
          <w:b w:val="0"/>
          <w:sz w:val="21"/>
        </w:rPr>
        <w:t>MADRS 和 MADRS-s 次要终点在应答率和缓解率上均显著支持</w:t>
      </w:r>
    </w:p>
    <w:p>
      <w:pPr>
        <w:pStyle w:val="ListBullet"/>
        <w:spacing w:after="40" w:line="360" w:lineRule="auto"/>
      </w:pPr>
      <w:r>
        <w:rPr>
          <w:rFonts w:ascii="微软雅黑" w:hAnsi="微软雅黑" w:eastAsia="微软雅黑"/>
          <w:b w:val="0"/>
          <w:sz w:val="21"/>
        </w:rPr>
        <w:t>单药与辅助治疗两亚组均显著（monotherapy Cohen's d = 0.56，adjunctive d = 0.46）</w:t>
      </w:r>
    </w:p>
    <w:p>
      <w:pPr>
        <w:spacing w:before="240" w:after="120"/>
      </w:pPr>
      <w:r>
        <w:rPr>
          <w:rFonts w:ascii="微软雅黑" w:hAnsi="微软雅黑" w:eastAsia="微软雅黑"/>
          <w:b/>
          <w:color w:val="365F91"/>
          <w:sz w:val="27"/>
        </w:rPr>
        <w:t>5.2 安全性结论</w:t>
      </w:r>
    </w:p>
    <w:p>
      <w:pPr>
        <w:pStyle w:val="ListBullet"/>
        <w:spacing w:after="40" w:line="360" w:lineRule="auto"/>
      </w:pPr>
      <w:r>
        <w:rPr>
          <w:rFonts w:ascii="微软雅黑" w:hAnsi="微软雅黑" w:eastAsia="微软雅黑"/>
          <w:b w:val="0"/>
          <w:sz w:val="21"/>
        </w:rPr>
        <w:t>FL-100 呈现"可能的风险"，但风险等级低</w:t>
      </w:r>
    </w:p>
    <w:p>
      <w:pPr>
        <w:pStyle w:val="ListBullet"/>
        <w:spacing w:after="40" w:line="360" w:lineRule="auto"/>
      </w:pPr>
      <w:r>
        <w:rPr>
          <w:rFonts w:ascii="微软雅黑" w:hAnsi="微软雅黑" w:eastAsia="微软雅黑"/>
          <w:b w:val="0"/>
          <w:sz w:val="21"/>
        </w:rPr>
        <w:t>风险总体轻度、短暂，主要为皮肤问题与短暂头痛</w:t>
      </w:r>
    </w:p>
    <w:p>
      <w:pPr>
        <w:pStyle w:val="ListBullet"/>
        <w:spacing w:after="40" w:line="360" w:lineRule="auto"/>
      </w:pPr>
      <w:r>
        <w:rPr>
          <w:rFonts w:ascii="微软雅黑" w:hAnsi="微软雅黑" w:eastAsia="微软雅黑"/>
          <w:b w:val="0"/>
          <w:sz w:val="21"/>
        </w:rPr>
        <w:t>电极片重复使用或干燥可致皮肤烧伤——已纳入警示</w:t>
      </w:r>
    </w:p>
    <w:p>
      <w:pPr>
        <w:spacing w:before="240" w:after="120"/>
      </w:pPr>
      <w:r>
        <w:rPr>
          <w:rFonts w:ascii="微软雅黑" w:hAnsi="微软雅黑" w:eastAsia="微软雅黑"/>
          <w:b/>
          <w:color w:val="365F91"/>
          <w:sz w:val="27"/>
        </w:rPr>
        <w:t>5.3 益处-风险决定</w:t>
      </w:r>
    </w:p>
    <w:p>
      <w:pPr>
        <w:spacing w:after="80" w:line="360" w:lineRule="auto"/>
        <w:ind w:firstLine="420"/>
      </w:pPr>
      <w:r>
        <w:rPr>
          <w:rFonts w:ascii="微软雅黑" w:hAnsi="微软雅黑" w:eastAsia="微软雅黑"/>
          <w:b w:val="0"/>
          <w:sz w:val="21"/>
        </w:rPr>
        <w:t>FDA 的决定："The totality of the evidence demonstrates FL-100 provides probable benefit... sufficient to outweigh its probable risk."（综合证据显示，FL-100 提供的可能获益足以超过其可能风险。）</w:t>
      </w:r>
    </w:p>
    <w:p>
      <w:pPr>
        <w:spacing w:after="80" w:line="360" w:lineRule="auto"/>
      </w:pPr>
      <w:r>
        <w:rPr>
          <w:rFonts w:ascii="微软雅黑" w:hAnsi="微软雅黑" w:eastAsia="微软雅黑"/>
          <w:b/>
          <w:sz w:val="21"/>
        </w:rPr>
        <w:t>**FDA 特别考虑的加分项**：</w:t>
      </w:r>
    </w:p>
    <w:p>
      <w:pPr>
        <w:pStyle w:val="ListBullet"/>
        <w:spacing w:after="40" w:line="360" w:lineRule="auto"/>
      </w:pPr>
      <w:r>
        <w:rPr>
          <w:rFonts w:ascii="微软雅黑" w:hAnsi="微软雅黑" w:eastAsia="微软雅黑"/>
          <w:b w:val="0"/>
          <w:sz w:val="21"/>
        </w:rPr>
        <w:t>临床依从性高（&lt;15% 流失率）</w:t>
      </w:r>
    </w:p>
    <w:p>
      <w:pPr>
        <w:pStyle w:val="ListBullet"/>
        <w:spacing w:after="40" w:line="360" w:lineRule="auto"/>
      </w:pPr>
      <w:r>
        <w:rPr>
          <w:rFonts w:ascii="微软雅黑" w:hAnsi="微软雅黑" w:eastAsia="微软雅黑"/>
          <w:b w:val="0"/>
          <w:sz w:val="21"/>
        </w:rPr>
        <w:t>RCT 覆盖 2 个不同地域，支持结果外推</w:t>
      </w:r>
    </w:p>
    <w:p>
      <w:pPr>
        <w:pStyle w:val="ListBullet"/>
        <w:spacing w:after="40" w:line="360" w:lineRule="auto"/>
      </w:pPr>
      <w:r>
        <w:rPr>
          <w:rFonts w:ascii="微软雅黑" w:hAnsi="微软雅黑" w:eastAsia="微软雅黑"/>
          <w:b w:val="0"/>
          <w:sz w:val="21"/>
        </w:rPr>
        <w:t>单药和辅助治疗均显示可能获益</w:t>
      </w:r>
    </w:p>
    <w:p>
      <w:pPr>
        <w:pStyle w:val="ListBullet"/>
        <w:spacing w:after="40" w:line="360" w:lineRule="auto"/>
      </w:pPr>
      <w:r>
        <w:rPr>
          <w:rFonts w:ascii="微软雅黑" w:hAnsi="微软雅黑" w:eastAsia="微软雅黑"/>
          <w:b w:val="0"/>
          <w:sz w:val="21"/>
        </w:rPr>
        <w:t>家用使用促进治疗可及性，为药物治疗低耐受患者提供替代</w:t>
      </w:r>
    </w:p>
    <w:p>
      <w:pPr>
        <w:pStyle w:val="ListBullet"/>
        <w:spacing w:after="40" w:line="360" w:lineRule="auto"/>
      </w:pPr>
      <w:r>
        <w:rPr>
          <w:rFonts w:ascii="微软雅黑" w:hAnsi="微软雅黑" w:eastAsia="微软雅黑"/>
          <w:b w:val="0"/>
          <w:sz w:val="21"/>
        </w:rPr>
        <w:t>欧洲市场长期使用积累的上市后监测数据支持风险特征已被充分表征</w:t>
      </w:r>
    </w:p>
    <w:p>
      <w:pPr>
        <w:spacing w:after="80"/>
        <w:ind w:left="280"/>
      </w:pPr>
      <w:r>
        <w:rPr>
          <w:rFonts w:ascii="微软雅黑" w:hAnsi="微软雅黑" w:eastAsia="微软雅黑"/>
          <w:b/>
          <w:color w:val="00704A"/>
          <w:sz w:val="20"/>
        </w:rPr>
        <w:t>【中国注册参考】</w:t>
      </w:r>
      <w:r>
        <w:rPr>
          <w:rFonts w:ascii="微软雅黑" w:hAnsi="微软雅黑" w:eastAsia="微软雅黑"/>
          <w:b w:val="0"/>
          <w:color w:val="595959"/>
          <w:sz w:val="20"/>
        </w:rPr>
        <w:t>**决策启示**：Starstim 中国注册时，重点向 CDE 展示以下要素：（1）Neuroelectrics 已积累的 CE 上市后监测数据（安全性长期证据）；（2）多中心均一性证据；（3）单药与辅助两个亚组的一致性；（4）家用便利性和依从性数据；（5）与 TMS/ECT 相比的"低风险、无麻醉、无手术"优势。</w:t>
      </w:r>
    </w:p>
    <w:p>
      <w:r>
        <w:br w:type="page"/>
      </w:r>
    </w:p>
    <w:p>
      <w:pPr>
        <w:spacing w:before="240" w:after="120"/>
      </w:pPr>
      <w:r>
        <w:rPr>
          <w:rFonts w:ascii="微软雅黑" w:hAnsi="微软雅黑" w:eastAsia="微软雅黑"/>
          <w:b/>
          <w:color w:val="1F497D"/>
          <w:sz w:val="32"/>
        </w:rPr>
        <w:t>第六章 Starstim 中国临床方案建议（一比一映射）</w:t>
      </w:r>
    </w:p>
    <w:p>
      <w:pPr>
        <w:spacing w:before="240" w:after="120"/>
      </w:pPr>
      <w:r>
        <w:rPr>
          <w:rFonts w:ascii="微软雅黑" w:hAnsi="微软雅黑" w:eastAsia="微软雅黑"/>
          <w:b/>
          <w:color w:val="365F91"/>
          <w:sz w:val="27"/>
        </w:rPr>
        <w:t>6.1 推荐方案框架（一句话总结）</w:t>
      </w:r>
    </w:p>
    <w:p>
      <w:pPr>
        <w:spacing w:after="80" w:line="360" w:lineRule="auto"/>
        <w:ind w:firstLine="420"/>
      </w:pPr>
      <w:r>
        <w:rPr>
          <w:rFonts w:ascii="微软雅黑" w:hAnsi="微软雅黑" w:eastAsia="微软雅黑"/>
          <w:b/>
          <w:color w:val="00704A"/>
          <w:sz w:val="21"/>
        </w:rPr>
        <w:t>**采用"Empower + 中国本土化"混合方案：3 中心多中心 RCT、150 例总样本、10 周盲态 + 10 周开放标签、主要终点 HAMD-17 均分变化、次要终点采用 MADRS + CGI-I，允许单药或辅助（合并抗抑郁药）两种用药背景。**</w:t>
      </w:r>
    </w:p>
    <w:p>
      <w:pPr>
        <w:spacing w:before="240" w:after="120"/>
      </w:pPr>
      <w:r>
        <w:rPr>
          <w:rFonts w:ascii="微软雅黑" w:hAnsi="微软雅黑" w:eastAsia="微软雅黑"/>
          <w:b/>
          <w:color w:val="365F91"/>
          <w:sz w:val="27"/>
        </w:rPr>
        <w:t>6.2 方案要素一览</w:t>
      </w:r>
    </w:p>
    <w:tbl>
      <w:tblPr>
        <w:tblStyle w:val="LightGrid-Accent1"/>
        <w:tblW w:type="auto" w:w="0"/>
        <w:jc w:val="center"/>
        <w:tblLook w:firstColumn="1" w:firstRow="1" w:lastColumn="0" w:lastRow="0" w:noHBand="0" w:noVBand="1" w:val="04A0"/>
      </w:tblPr>
      <w:tblGrid>
        <w:gridCol w:w="4703"/>
        <w:gridCol w:w="4703"/>
      </w:tblGrid>
      <w:tr>
        <w:tc>
          <w:tcPr>
            <w:tcW w:type="dxa" w:w="2268"/>
            <w:shd w:val="clear" w:color="auto" w:fill="1F497D"/>
            <w:vAlign w:val="center"/>
          </w:tcPr>
          <w:p>
            <w:pPr>
              <w:jc w:val="center"/>
            </w:pPr>
            <w:r/>
            <w:r>
              <w:rPr>
                <w:rFonts w:ascii="微软雅黑" w:hAnsi="微软雅黑" w:eastAsia="微软雅黑"/>
                <w:b/>
                <w:color w:val="FFFFFF"/>
                <w:sz w:val="20"/>
              </w:rPr>
              <w:t>要素</w:t>
            </w:r>
          </w:p>
        </w:tc>
        <w:tc>
          <w:tcPr>
            <w:tcW w:type="dxa" w:w="6803"/>
            <w:shd w:val="clear" w:color="auto" w:fill="1F497D"/>
            <w:vAlign w:val="center"/>
          </w:tcPr>
          <w:p>
            <w:pPr>
              <w:jc w:val="center"/>
            </w:pPr>
            <w:r/>
            <w:r>
              <w:rPr>
                <w:rFonts w:ascii="微软雅黑" w:hAnsi="微软雅黑" w:eastAsia="微软雅黑"/>
                <w:b/>
                <w:color w:val="FFFFFF"/>
                <w:sz w:val="20"/>
              </w:rPr>
              <w:t>推荐内容</w:t>
            </w:r>
          </w:p>
        </w:tc>
      </w:tr>
      <w:tr>
        <w:tc>
          <w:tcPr>
            <w:tcW w:type="dxa" w:w="2268"/>
            <w:vAlign w:val="center"/>
          </w:tcPr>
          <w:p>
            <w:pPr>
              <w:jc w:val="left"/>
            </w:pPr>
            <w:r/>
            <w:r>
              <w:rPr>
                <w:rFonts w:ascii="微软雅黑" w:hAnsi="微软雅黑" w:eastAsia="微软雅黑"/>
                <w:b w:val="0"/>
                <w:sz w:val="19"/>
              </w:rPr>
              <w:t>适应症</w:t>
            </w:r>
          </w:p>
        </w:tc>
        <w:tc>
          <w:tcPr>
            <w:tcW w:type="dxa" w:w="6803"/>
            <w:vAlign w:val="center"/>
          </w:tcPr>
          <w:p>
            <w:pPr>
              <w:jc w:val="left"/>
            </w:pPr>
            <w:r/>
            <w:r>
              <w:rPr>
                <w:rFonts w:ascii="微软雅黑" w:hAnsi="微软雅黑" w:eastAsia="微软雅黑"/>
                <w:b w:val="0"/>
                <w:sz w:val="19"/>
              </w:rPr>
              <w:t>18–65 岁 MDD 当前发作期（HAMD-17 ≥ 16），排除 TRD</w:t>
            </w:r>
          </w:p>
        </w:tc>
      </w:tr>
      <w:tr>
        <w:tc>
          <w:tcPr>
            <w:tcW w:type="dxa" w:w="2268"/>
            <w:vAlign w:val="center"/>
          </w:tcPr>
          <w:p>
            <w:pPr>
              <w:jc w:val="left"/>
            </w:pPr>
            <w:r/>
            <w:r>
              <w:rPr>
                <w:rFonts w:ascii="微软雅黑" w:hAnsi="微软雅黑" w:eastAsia="微软雅黑"/>
                <w:b w:val="0"/>
                <w:sz w:val="19"/>
              </w:rPr>
              <w:t>中心数</w:t>
            </w:r>
          </w:p>
        </w:tc>
        <w:tc>
          <w:tcPr>
            <w:tcW w:type="dxa" w:w="6803"/>
            <w:vAlign w:val="center"/>
          </w:tcPr>
          <w:p>
            <w:pPr>
              <w:jc w:val="left"/>
            </w:pPr>
            <w:r/>
            <w:r>
              <w:rPr>
                <w:rFonts w:ascii="微软雅黑" w:hAnsi="微软雅黑" w:eastAsia="微软雅黑"/>
                <w:b w:val="0"/>
                <w:sz w:val="19"/>
              </w:rPr>
              <w:t>3 家三甲医院精神科（推荐北京安定 / 上海精卫 / 广州脑科 或同级中心）</w:t>
            </w:r>
          </w:p>
        </w:tc>
      </w:tr>
      <w:tr>
        <w:tc>
          <w:tcPr>
            <w:tcW w:type="dxa" w:w="2268"/>
            <w:vAlign w:val="center"/>
          </w:tcPr>
          <w:p>
            <w:pPr>
              <w:jc w:val="left"/>
            </w:pPr>
            <w:r/>
            <w:r>
              <w:rPr>
                <w:rFonts w:ascii="微软雅黑" w:hAnsi="微软雅黑" w:eastAsia="微软雅黑"/>
                <w:b w:val="0"/>
                <w:sz w:val="19"/>
              </w:rPr>
              <w:t>样本量</w:t>
            </w:r>
          </w:p>
        </w:tc>
        <w:tc>
          <w:tcPr>
            <w:tcW w:type="dxa" w:w="6803"/>
            <w:vAlign w:val="center"/>
          </w:tcPr>
          <w:p>
            <w:pPr>
              <w:jc w:val="left"/>
            </w:pPr>
            <w:r/>
            <w:r>
              <w:rPr>
                <w:rFonts w:ascii="微软雅黑" w:hAnsi="微软雅黑" w:eastAsia="微软雅黑"/>
                <w:b w:val="0"/>
                <w:sz w:val="19"/>
              </w:rPr>
              <w:t>150 例总（1:1 随机）</w:t>
            </w:r>
          </w:p>
        </w:tc>
      </w:tr>
      <w:tr>
        <w:tc>
          <w:tcPr>
            <w:tcW w:type="dxa" w:w="2268"/>
            <w:vAlign w:val="center"/>
          </w:tcPr>
          <w:p>
            <w:pPr>
              <w:jc w:val="left"/>
            </w:pPr>
            <w:r/>
            <w:r>
              <w:rPr>
                <w:rFonts w:ascii="微软雅黑" w:hAnsi="微软雅黑" w:eastAsia="微软雅黑"/>
                <w:b w:val="0"/>
                <w:sz w:val="19"/>
              </w:rPr>
              <w:t>统计功效</w:t>
            </w:r>
          </w:p>
        </w:tc>
        <w:tc>
          <w:tcPr>
            <w:tcW w:type="dxa" w:w="6803"/>
            <w:vAlign w:val="center"/>
          </w:tcPr>
          <w:p>
            <w:pPr>
              <w:jc w:val="left"/>
            </w:pPr>
            <w:r/>
            <w:r>
              <w:rPr>
                <w:rFonts w:ascii="微软雅黑" w:hAnsi="微软雅黑" w:eastAsia="微软雅黑"/>
                <w:b w:val="0"/>
                <w:sz w:val="19"/>
              </w:rPr>
              <w:t>α=0.025 单侧，power=80%，Cohen's d=0.4（基于 Empower 0.37 保守估计）</w:t>
            </w:r>
          </w:p>
        </w:tc>
      </w:tr>
      <w:tr>
        <w:tc>
          <w:tcPr>
            <w:tcW w:type="dxa" w:w="2268"/>
            <w:vAlign w:val="center"/>
          </w:tcPr>
          <w:p>
            <w:pPr>
              <w:jc w:val="left"/>
            </w:pPr>
            <w:r/>
            <w:r>
              <w:rPr>
                <w:rFonts w:ascii="微软雅黑" w:hAnsi="微软雅黑" w:eastAsia="微软雅黑"/>
                <w:b w:val="0"/>
                <w:sz w:val="19"/>
              </w:rPr>
              <w:t>随机比例</w:t>
            </w:r>
          </w:p>
        </w:tc>
        <w:tc>
          <w:tcPr>
            <w:tcW w:type="dxa" w:w="6803"/>
            <w:vAlign w:val="center"/>
          </w:tcPr>
          <w:p>
            <w:pPr>
              <w:jc w:val="left"/>
            </w:pPr>
            <w:r/>
            <w:r>
              <w:rPr>
                <w:rFonts w:ascii="微软雅黑" w:hAnsi="微软雅黑" w:eastAsia="微软雅黑"/>
                <w:b w:val="0"/>
                <w:sz w:val="19"/>
              </w:rPr>
              <w:t>1:1 Active vs Sham</w:t>
            </w:r>
          </w:p>
        </w:tc>
      </w:tr>
      <w:tr>
        <w:tc>
          <w:tcPr>
            <w:tcW w:type="dxa" w:w="2268"/>
            <w:vAlign w:val="center"/>
          </w:tcPr>
          <w:p>
            <w:pPr>
              <w:jc w:val="left"/>
            </w:pPr>
            <w:r/>
            <w:r>
              <w:rPr>
                <w:rFonts w:ascii="微软雅黑" w:hAnsi="微软雅黑" w:eastAsia="微软雅黑"/>
                <w:b w:val="0"/>
                <w:sz w:val="19"/>
              </w:rPr>
              <w:t>盲态期</w:t>
            </w:r>
          </w:p>
        </w:tc>
        <w:tc>
          <w:tcPr>
            <w:tcW w:type="dxa" w:w="6803"/>
            <w:vAlign w:val="center"/>
          </w:tcPr>
          <w:p>
            <w:pPr>
              <w:jc w:val="left"/>
            </w:pPr>
            <w:r/>
            <w:r>
              <w:rPr>
                <w:rFonts w:ascii="微软雅黑" w:hAnsi="微软雅黑" w:eastAsia="微软雅黑"/>
                <w:b w:val="0"/>
                <w:sz w:val="19"/>
              </w:rPr>
              <w:t>10 周（36 次治疗：前 3 周每周 5 次 + 后 7 周每周 3 次）</w:t>
            </w:r>
          </w:p>
        </w:tc>
      </w:tr>
      <w:tr>
        <w:tc>
          <w:tcPr>
            <w:tcW w:type="dxa" w:w="2268"/>
            <w:vAlign w:val="center"/>
          </w:tcPr>
          <w:p>
            <w:pPr>
              <w:jc w:val="left"/>
            </w:pPr>
            <w:r/>
            <w:r>
              <w:rPr>
                <w:rFonts w:ascii="微软雅黑" w:hAnsi="微软雅黑" w:eastAsia="微软雅黑"/>
                <w:b w:val="0"/>
                <w:sz w:val="19"/>
              </w:rPr>
              <w:t>开放标签期</w:t>
            </w:r>
          </w:p>
        </w:tc>
        <w:tc>
          <w:tcPr>
            <w:tcW w:type="dxa" w:w="6803"/>
            <w:vAlign w:val="center"/>
          </w:tcPr>
          <w:p>
            <w:pPr>
              <w:jc w:val="left"/>
            </w:pPr>
            <w:r/>
            <w:r>
              <w:rPr>
                <w:rFonts w:ascii="微软雅黑" w:hAnsi="微软雅黑" w:eastAsia="微软雅黑"/>
                <w:b w:val="0"/>
                <w:sz w:val="19"/>
              </w:rPr>
              <w:t>10 周（Sham 转 Active；Active 维持 3 次/周）</w:t>
            </w:r>
          </w:p>
        </w:tc>
      </w:tr>
      <w:tr>
        <w:tc>
          <w:tcPr>
            <w:tcW w:type="dxa" w:w="2268"/>
            <w:vAlign w:val="center"/>
          </w:tcPr>
          <w:p>
            <w:pPr>
              <w:jc w:val="left"/>
            </w:pPr>
            <w:r/>
            <w:r>
              <w:rPr>
                <w:rFonts w:ascii="微软雅黑" w:hAnsi="微软雅黑" w:eastAsia="微软雅黑"/>
                <w:b w:val="0"/>
                <w:sz w:val="19"/>
              </w:rPr>
              <w:t>刺激参数</w:t>
            </w:r>
          </w:p>
        </w:tc>
        <w:tc>
          <w:tcPr>
            <w:tcW w:type="dxa" w:w="6803"/>
            <w:vAlign w:val="center"/>
          </w:tcPr>
          <w:p>
            <w:pPr>
              <w:jc w:val="left"/>
            </w:pPr>
            <w:r/>
            <w:r>
              <w:rPr>
                <w:rFonts w:ascii="微软雅黑" w:hAnsi="微软雅黑" w:eastAsia="微软雅黑"/>
                <w:b w:val="0"/>
                <w:sz w:val="19"/>
              </w:rPr>
              <w:t>2.0 mA tDCS × 30 min/次；Sham 采用标准 ramp-up/down 方案</w:t>
            </w:r>
          </w:p>
        </w:tc>
      </w:tr>
      <w:tr>
        <w:tc>
          <w:tcPr>
            <w:tcW w:type="dxa" w:w="2268"/>
            <w:vAlign w:val="center"/>
          </w:tcPr>
          <w:p>
            <w:pPr>
              <w:jc w:val="left"/>
            </w:pPr>
            <w:r/>
            <w:r>
              <w:rPr>
                <w:rFonts w:ascii="微软雅黑" w:hAnsi="微软雅黑" w:eastAsia="微软雅黑"/>
                <w:b w:val="0"/>
                <w:sz w:val="19"/>
              </w:rPr>
              <w:t>执行模式</w:t>
            </w:r>
          </w:p>
        </w:tc>
        <w:tc>
          <w:tcPr>
            <w:tcW w:type="dxa" w:w="6803"/>
            <w:vAlign w:val="center"/>
          </w:tcPr>
          <w:p>
            <w:pPr>
              <w:jc w:val="left"/>
            </w:pPr>
            <w:r/>
            <w:r>
              <w:rPr>
                <w:rFonts w:ascii="微软雅黑" w:hAnsi="微软雅黑" w:eastAsia="微软雅黑"/>
                <w:b w:val="0"/>
                <w:sz w:val="19"/>
              </w:rPr>
              <w:t>"半远程"：Wk 0/4/10/20 现场访视 + 家用为主</w:t>
            </w:r>
          </w:p>
        </w:tc>
      </w:tr>
      <w:tr>
        <w:tc>
          <w:tcPr>
            <w:tcW w:type="dxa" w:w="2268"/>
            <w:vAlign w:val="center"/>
          </w:tcPr>
          <w:p>
            <w:pPr>
              <w:jc w:val="left"/>
            </w:pPr>
            <w:r/>
            <w:r>
              <w:rPr>
                <w:rFonts w:ascii="微软雅黑" w:hAnsi="微软雅黑" w:eastAsia="微软雅黑"/>
                <w:b w:val="0"/>
                <w:sz w:val="19"/>
              </w:rPr>
              <w:t>主要终点</w:t>
            </w:r>
          </w:p>
        </w:tc>
        <w:tc>
          <w:tcPr>
            <w:tcW w:type="dxa" w:w="6803"/>
            <w:vAlign w:val="center"/>
          </w:tcPr>
          <w:p>
            <w:pPr>
              <w:jc w:val="left"/>
            </w:pPr>
            <w:r/>
            <w:r>
              <w:rPr>
                <w:rFonts w:ascii="微软雅黑" w:hAnsi="微软雅黑" w:eastAsia="微软雅黑"/>
                <w:b w:val="0"/>
                <w:sz w:val="19"/>
              </w:rPr>
              <w:t>Week 10 HAMD-17 均分改变（Active vs Sham 组间差异）</w:t>
            </w:r>
          </w:p>
        </w:tc>
      </w:tr>
      <w:tr>
        <w:tc>
          <w:tcPr>
            <w:tcW w:type="dxa" w:w="2268"/>
            <w:vAlign w:val="center"/>
          </w:tcPr>
          <w:p>
            <w:pPr>
              <w:jc w:val="left"/>
            </w:pPr>
            <w:r/>
            <w:r>
              <w:rPr>
                <w:rFonts w:ascii="微软雅黑" w:hAnsi="微软雅黑" w:eastAsia="微软雅黑"/>
                <w:b w:val="0"/>
                <w:sz w:val="19"/>
              </w:rPr>
              <w:t>次要终点</w:t>
            </w:r>
          </w:p>
        </w:tc>
        <w:tc>
          <w:tcPr>
            <w:tcW w:type="dxa" w:w="6803"/>
            <w:vAlign w:val="center"/>
          </w:tcPr>
          <w:p>
            <w:pPr>
              <w:jc w:val="left"/>
            </w:pPr>
            <w:r/>
            <w:r>
              <w:rPr>
                <w:rFonts w:ascii="微软雅黑" w:hAnsi="微软雅黑" w:eastAsia="微软雅黑"/>
                <w:b w:val="0"/>
                <w:sz w:val="19"/>
              </w:rPr>
              <w:t>HAMD-17 应答率/缓解率、MADRS、CGI-I、CGI-S、EQ-5D-5L、安全性 AEQ</w:t>
            </w:r>
          </w:p>
        </w:tc>
      </w:tr>
      <w:tr>
        <w:tc>
          <w:tcPr>
            <w:tcW w:type="dxa" w:w="2268"/>
            <w:vAlign w:val="center"/>
          </w:tcPr>
          <w:p>
            <w:pPr>
              <w:jc w:val="left"/>
            </w:pPr>
            <w:r/>
            <w:r>
              <w:rPr>
                <w:rFonts w:ascii="微软雅黑" w:hAnsi="微软雅黑" w:eastAsia="微软雅黑"/>
                <w:b w:val="0"/>
                <w:sz w:val="19"/>
              </w:rPr>
              <w:t>统计方法</w:t>
            </w:r>
          </w:p>
        </w:tc>
        <w:tc>
          <w:tcPr>
            <w:tcW w:type="dxa" w:w="6803"/>
            <w:vAlign w:val="center"/>
          </w:tcPr>
          <w:p>
            <w:pPr>
              <w:jc w:val="left"/>
            </w:pPr>
            <w:r/>
            <w:r>
              <w:rPr>
                <w:rFonts w:ascii="微软雅黑" w:hAnsi="微软雅黑" w:eastAsia="微软雅黑"/>
                <w:b w:val="0"/>
                <w:sz w:val="19"/>
              </w:rPr>
              <w:t>MMRM 混合模型 + FCS 多重插补 + Hochberg 多重性控制</w:t>
            </w:r>
          </w:p>
        </w:tc>
      </w:tr>
      <w:tr>
        <w:tc>
          <w:tcPr>
            <w:tcW w:type="dxa" w:w="2268"/>
            <w:vAlign w:val="center"/>
          </w:tcPr>
          <w:p>
            <w:pPr>
              <w:jc w:val="left"/>
            </w:pPr>
            <w:r/>
            <w:r>
              <w:rPr>
                <w:rFonts w:ascii="微软雅黑" w:hAnsi="微软雅黑" w:eastAsia="微软雅黑"/>
                <w:b w:val="0"/>
                <w:sz w:val="19"/>
              </w:rPr>
              <w:t>安全监测</w:t>
            </w:r>
          </w:p>
        </w:tc>
        <w:tc>
          <w:tcPr>
            <w:tcW w:type="dxa" w:w="6803"/>
            <w:vAlign w:val="center"/>
          </w:tcPr>
          <w:p>
            <w:pPr>
              <w:jc w:val="left"/>
            </w:pPr>
            <w:r/>
            <w:r>
              <w:rPr>
                <w:rFonts w:ascii="微软雅黑" w:hAnsi="微软雅黑" w:eastAsia="微软雅黑"/>
                <w:b w:val="0"/>
                <w:sz w:val="19"/>
              </w:rPr>
              <w:t>DSMB 数据安全监察委员会；每周 C-SSRS 自杀评估；AEQ AE 收集</w:t>
            </w:r>
          </w:p>
        </w:tc>
      </w:tr>
      <w:tr>
        <w:tc>
          <w:tcPr>
            <w:tcW w:type="dxa" w:w="2268"/>
            <w:vAlign w:val="center"/>
          </w:tcPr>
          <w:p>
            <w:pPr>
              <w:jc w:val="left"/>
            </w:pPr>
            <w:r/>
            <w:r>
              <w:rPr>
                <w:rFonts w:ascii="微软雅黑" w:hAnsi="微软雅黑" w:eastAsia="微软雅黑"/>
                <w:b w:val="0"/>
                <w:sz w:val="19"/>
              </w:rPr>
              <w:t>预计时长</w:t>
            </w:r>
          </w:p>
        </w:tc>
        <w:tc>
          <w:tcPr>
            <w:tcW w:type="dxa" w:w="6803"/>
            <w:vAlign w:val="center"/>
          </w:tcPr>
          <w:p>
            <w:pPr>
              <w:jc w:val="left"/>
            </w:pPr>
            <w:r/>
            <w:r>
              <w:rPr>
                <w:rFonts w:ascii="微软雅黑" w:hAnsi="微软雅黑" w:eastAsia="微软雅黑"/>
                <w:b w:val="0"/>
                <w:sz w:val="19"/>
              </w:rPr>
              <w:t>入组 12 个月 + 治疗随访 10 个月 + 统计报告 3 个月 = 25 个月</w:t>
            </w:r>
          </w:p>
        </w:tc>
      </w:tr>
      <w:tr>
        <w:tc>
          <w:tcPr>
            <w:tcW w:type="dxa" w:w="2268"/>
            <w:vAlign w:val="center"/>
          </w:tcPr>
          <w:p>
            <w:pPr>
              <w:jc w:val="left"/>
            </w:pPr>
            <w:r/>
            <w:r>
              <w:rPr>
                <w:rFonts w:ascii="微软雅黑" w:hAnsi="微软雅黑" w:eastAsia="微软雅黑"/>
                <w:b w:val="0"/>
                <w:sz w:val="19"/>
              </w:rPr>
              <w:t>预计总成本</w:t>
            </w:r>
          </w:p>
        </w:tc>
        <w:tc>
          <w:tcPr>
            <w:tcW w:type="dxa" w:w="6803"/>
            <w:vAlign w:val="center"/>
          </w:tcPr>
          <w:p>
            <w:pPr>
              <w:jc w:val="left"/>
            </w:pPr>
            <w:r/>
            <w:r>
              <w:rPr>
                <w:rFonts w:ascii="微软雅黑" w:hAnsi="微软雅黑" w:eastAsia="微软雅黑"/>
                <w:b w:val="0"/>
                <w:sz w:val="19"/>
              </w:rPr>
              <w:t>450–600 万元（不含设备与产品技术要求）</w:t>
            </w:r>
          </w:p>
        </w:tc>
      </w:tr>
    </w:tbl>
    <w:p>
      <w:pPr>
        <w:spacing w:before="240" w:after="120"/>
      </w:pPr>
      <w:r>
        <w:rPr>
          <w:rFonts w:ascii="微软雅黑" w:hAnsi="微软雅黑" w:eastAsia="微软雅黑"/>
          <w:b/>
          <w:color w:val="365F91"/>
          <w:sz w:val="27"/>
        </w:rPr>
        <w:t>6.3 关键风险点与预案</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val="clear" w:color="auto" w:fill="1F497D"/>
            <w:vAlign w:val="center"/>
          </w:tcPr>
          <w:p>
            <w:pPr>
              <w:jc w:val="center"/>
            </w:pPr>
            <w:r/>
            <w:r>
              <w:rPr>
                <w:rFonts w:ascii="微软雅黑" w:hAnsi="微软雅黑" w:eastAsia="微软雅黑"/>
                <w:b/>
                <w:color w:val="FFFFFF"/>
                <w:sz w:val="20"/>
              </w:rPr>
              <w:t>风险</w:t>
            </w:r>
          </w:p>
        </w:tc>
        <w:tc>
          <w:tcPr>
            <w:tcW w:type="dxa" w:w="2835"/>
            <w:shd w:val="clear" w:color="auto" w:fill="1F497D"/>
            <w:vAlign w:val="center"/>
          </w:tcPr>
          <w:p>
            <w:pPr>
              <w:jc w:val="center"/>
            </w:pPr>
            <w:r/>
            <w:r>
              <w:rPr>
                <w:rFonts w:ascii="微软雅黑" w:hAnsi="微软雅黑" w:eastAsia="微软雅黑"/>
                <w:b/>
                <w:color w:val="FFFFFF"/>
                <w:sz w:val="20"/>
              </w:rPr>
              <w:t>来源</w:t>
            </w:r>
          </w:p>
        </w:tc>
        <w:tc>
          <w:tcPr>
            <w:tcW w:type="dxa" w:w="4535"/>
            <w:shd w:val="clear" w:color="auto" w:fill="1F497D"/>
            <w:vAlign w:val="center"/>
          </w:tcPr>
          <w:p>
            <w:pPr>
              <w:jc w:val="center"/>
            </w:pPr>
            <w:r/>
            <w:r>
              <w:rPr>
                <w:rFonts w:ascii="微软雅黑" w:hAnsi="微软雅黑" w:eastAsia="微软雅黑"/>
                <w:b/>
                <w:color w:val="FFFFFF"/>
                <w:sz w:val="20"/>
              </w:rPr>
              <w:t>缓释措施</w:t>
            </w:r>
          </w:p>
        </w:tc>
      </w:tr>
      <w:tr>
        <w:tc>
          <w:tcPr>
            <w:tcW w:type="dxa" w:w="1701"/>
            <w:vAlign w:val="center"/>
          </w:tcPr>
          <w:p>
            <w:pPr>
              <w:jc w:val="left"/>
            </w:pPr>
            <w:r/>
            <w:r>
              <w:rPr>
                <w:rFonts w:ascii="微软雅黑" w:hAnsi="微软雅黑" w:eastAsia="微软雅黑"/>
                <w:b w:val="0"/>
                <w:sz w:val="19"/>
              </w:rPr>
              <w:t>设盲失败</w:t>
            </w:r>
          </w:p>
        </w:tc>
        <w:tc>
          <w:tcPr>
            <w:tcW w:type="dxa" w:w="2835"/>
            <w:vAlign w:val="center"/>
          </w:tcPr>
          <w:p>
            <w:pPr>
              <w:jc w:val="left"/>
            </w:pPr>
            <w:r/>
            <w:r>
              <w:rPr>
                <w:rFonts w:ascii="微软雅黑" w:hAnsi="微软雅黑" w:eastAsia="微软雅黑"/>
                <w:b w:val="0"/>
                <w:sz w:val="19"/>
              </w:rPr>
              <w:t>Empower 显示 Active 组 77.6% 猜对分组</w:t>
            </w:r>
          </w:p>
        </w:tc>
        <w:tc>
          <w:tcPr>
            <w:tcW w:type="dxa" w:w="4535"/>
            <w:vAlign w:val="center"/>
          </w:tcPr>
          <w:p>
            <w:pPr>
              <w:jc w:val="left"/>
            </w:pPr>
            <w:r/>
            <w:r>
              <w:rPr>
                <w:rFonts w:ascii="微软雅黑" w:hAnsi="微软雅黑" w:eastAsia="微软雅黑"/>
                <w:b w:val="0"/>
                <w:sz w:val="19"/>
              </w:rPr>
              <w:t>预设 CGR 敏感性分析写入 SAP；受试者"感知强度问卷"作为质控</w:t>
            </w:r>
          </w:p>
        </w:tc>
      </w:tr>
      <w:tr>
        <w:tc>
          <w:tcPr>
            <w:tcW w:type="dxa" w:w="1701"/>
            <w:vAlign w:val="center"/>
          </w:tcPr>
          <w:p>
            <w:pPr>
              <w:jc w:val="left"/>
            </w:pPr>
            <w:r/>
            <w:r>
              <w:rPr>
                <w:rFonts w:ascii="微软雅黑" w:hAnsi="微软雅黑" w:eastAsia="微软雅黑"/>
                <w:b w:val="0"/>
                <w:sz w:val="19"/>
              </w:rPr>
              <w:t>样本流失</w:t>
            </w:r>
          </w:p>
        </w:tc>
        <w:tc>
          <w:tcPr>
            <w:tcW w:type="dxa" w:w="2835"/>
            <w:vAlign w:val="center"/>
          </w:tcPr>
          <w:p>
            <w:pPr>
              <w:jc w:val="left"/>
            </w:pPr>
            <w:r/>
            <w:r>
              <w:rPr>
                <w:rFonts w:ascii="微软雅黑" w:hAnsi="微软雅黑" w:eastAsia="微软雅黑"/>
                <w:b w:val="0"/>
                <w:sz w:val="19"/>
              </w:rPr>
              <w:t>Empower 流失 14.3%（合理）</w:t>
            </w:r>
          </w:p>
        </w:tc>
        <w:tc>
          <w:tcPr>
            <w:tcW w:type="dxa" w:w="4535"/>
            <w:vAlign w:val="center"/>
          </w:tcPr>
          <w:p>
            <w:pPr>
              <w:jc w:val="left"/>
            </w:pPr>
            <w:r/>
            <w:r>
              <w:rPr>
                <w:rFonts w:ascii="微软雅黑" w:hAnsi="微软雅黑" w:eastAsia="微软雅黑"/>
                <w:b w:val="0"/>
                <w:sz w:val="19"/>
              </w:rPr>
              <w:t>中国方案预留 20% 流失，实际入组 180 例；家用便利性降低流失</w:t>
            </w:r>
          </w:p>
        </w:tc>
      </w:tr>
      <w:tr>
        <w:tc>
          <w:tcPr>
            <w:tcW w:type="dxa" w:w="1701"/>
            <w:vAlign w:val="center"/>
          </w:tcPr>
          <w:p>
            <w:pPr>
              <w:jc w:val="left"/>
            </w:pPr>
            <w:r/>
            <w:r>
              <w:rPr>
                <w:rFonts w:ascii="微软雅黑" w:hAnsi="微软雅黑" w:eastAsia="微软雅黑"/>
                <w:b w:val="0"/>
                <w:sz w:val="19"/>
              </w:rPr>
              <w:t>CDE 审评发补</w:t>
            </w:r>
          </w:p>
        </w:tc>
        <w:tc>
          <w:tcPr>
            <w:tcW w:type="dxa" w:w="2835"/>
            <w:vAlign w:val="center"/>
          </w:tcPr>
          <w:p>
            <w:pPr>
              <w:jc w:val="left"/>
            </w:pPr>
            <w:r/>
            <w:r>
              <w:rPr>
                <w:rFonts w:ascii="微软雅黑" w:hAnsi="微软雅黑" w:eastAsia="微软雅黑"/>
                <w:b w:val="0"/>
                <w:sz w:val="19"/>
              </w:rPr>
              <w:t>CDE 可能对设盲、多重性、缺失数据处理提问</w:t>
            </w:r>
          </w:p>
        </w:tc>
        <w:tc>
          <w:tcPr>
            <w:tcW w:type="dxa" w:w="4535"/>
            <w:vAlign w:val="center"/>
          </w:tcPr>
          <w:p>
            <w:pPr>
              <w:jc w:val="left"/>
            </w:pPr>
            <w:r/>
            <w:r>
              <w:rPr>
                <w:rFonts w:ascii="微软雅黑" w:hAnsi="微软雅黑" w:eastAsia="微软雅黑"/>
                <w:b w:val="0"/>
                <w:sz w:val="19"/>
              </w:rPr>
              <w:t>Pre-submission 前置沟通；预留 6 个月发补窗口</w:t>
            </w:r>
          </w:p>
        </w:tc>
      </w:tr>
      <w:tr>
        <w:tc>
          <w:tcPr>
            <w:tcW w:type="dxa" w:w="1701"/>
            <w:vAlign w:val="center"/>
          </w:tcPr>
          <w:p>
            <w:pPr>
              <w:jc w:val="left"/>
            </w:pPr>
            <w:r/>
            <w:r>
              <w:rPr>
                <w:rFonts w:ascii="微软雅黑" w:hAnsi="微软雅黑" w:eastAsia="微软雅黑"/>
                <w:b w:val="0"/>
                <w:sz w:val="19"/>
              </w:rPr>
              <w:t>单中心变异</w:t>
            </w:r>
          </w:p>
        </w:tc>
        <w:tc>
          <w:tcPr>
            <w:tcW w:type="dxa" w:w="2835"/>
            <w:vAlign w:val="center"/>
          </w:tcPr>
          <w:p>
            <w:pPr>
              <w:jc w:val="left"/>
            </w:pPr>
            <w:r/>
            <w:r>
              <w:rPr>
                <w:rFonts w:ascii="微软雅黑" w:hAnsi="微软雅黑" w:eastAsia="微软雅黑"/>
                <w:b w:val="0"/>
                <w:sz w:val="19"/>
              </w:rPr>
              <w:t>3 个中心可能存在异质性</w:t>
            </w:r>
          </w:p>
        </w:tc>
        <w:tc>
          <w:tcPr>
            <w:tcW w:type="dxa" w:w="4535"/>
            <w:vAlign w:val="center"/>
          </w:tcPr>
          <w:p>
            <w:pPr>
              <w:jc w:val="left"/>
            </w:pPr>
            <w:r/>
            <w:r>
              <w:rPr>
                <w:rFonts w:ascii="微软雅黑" w:hAnsi="微软雅黑" w:eastAsia="微软雅黑"/>
                <w:b w:val="0"/>
                <w:sz w:val="19"/>
              </w:rPr>
              <w:t>预设中心作为分层变量；中心-治疗交互检验</w:t>
            </w:r>
          </w:p>
        </w:tc>
      </w:tr>
      <w:tr>
        <w:tc>
          <w:tcPr>
            <w:tcW w:type="dxa" w:w="1701"/>
            <w:vAlign w:val="center"/>
          </w:tcPr>
          <w:p>
            <w:pPr>
              <w:jc w:val="left"/>
            </w:pPr>
            <w:r/>
            <w:r>
              <w:rPr>
                <w:rFonts w:ascii="微软雅黑" w:hAnsi="微软雅黑" w:eastAsia="微软雅黑"/>
                <w:b w:val="0"/>
                <w:sz w:val="19"/>
              </w:rPr>
              <w:t>与依瑞德 TMS 竞争</w:t>
            </w:r>
          </w:p>
        </w:tc>
        <w:tc>
          <w:tcPr>
            <w:tcW w:type="dxa" w:w="2835"/>
            <w:vAlign w:val="center"/>
          </w:tcPr>
          <w:p>
            <w:pPr>
              <w:jc w:val="left"/>
            </w:pPr>
            <w:r/>
            <w:r>
              <w:rPr>
                <w:rFonts w:ascii="微软雅黑" w:hAnsi="微软雅黑" w:eastAsia="微软雅黑"/>
                <w:b w:val="0"/>
                <w:sz w:val="19"/>
              </w:rPr>
              <w:t>国内 TMS 三类证已开始下沉</w:t>
            </w:r>
          </w:p>
        </w:tc>
        <w:tc>
          <w:tcPr>
            <w:tcW w:type="dxa" w:w="4535"/>
            <w:vAlign w:val="center"/>
          </w:tcPr>
          <w:p>
            <w:pPr>
              <w:jc w:val="left"/>
            </w:pPr>
            <w:r/>
            <w:r>
              <w:rPr>
                <w:rFonts w:ascii="微软雅黑" w:hAnsi="微软雅黑" w:eastAsia="微软雅黑"/>
                <w:b w:val="0"/>
                <w:sz w:val="19"/>
              </w:rPr>
              <w:t>突出 tDCS 家用便利、无麻醉、依从性高的独有优势</w:t>
            </w:r>
          </w:p>
        </w:tc>
      </w:tr>
    </w:tbl>
    <w:p>
      <w:pPr>
        <w:spacing w:before="240" w:after="120"/>
      </w:pPr>
      <w:r>
        <w:rPr>
          <w:rFonts w:ascii="微软雅黑" w:hAnsi="微软雅黑" w:eastAsia="微软雅黑"/>
          <w:b/>
          <w:color w:val="365F91"/>
          <w:sz w:val="27"/>
        </w:rPr>
        <w:t>6.4 关键参考文献（供 CER 引用）</w:t>
      </w:r>
    </w:p>
    <w:p>
      <w:pPr>
        <w:pStyle w:val="ListNumber"/>
        <w:spacing w:after="40" w:line="360" w:lineRule="auto"/>
      </w:pPr>
      <w:r>
        <w:rPr>
          <w:rFonts w:ascii="微软雅黑" w:hAnsi="微软雅黑" w:eastAsia="微软雅黑"/>
          <w:b w:val="0"/>
          <w:sz w:val="21"/>
        </w:rPr>
        <w:t>Woodham RD, et al. Home-based tDCS treatment for major depressive disorder: a fully remote phase 2 randomized sham-controlled trial. Nat Med. 2025;31(1):87-95. PMID: 39433921. DOI: 10.1038/s41591-024-03305-y. — Empower 试验主论文，Starstim 中国方案的一比一参考</w:t>
      </w:r>
    </w:p>
    <w:p>
      <w:pPr>
        <w:pStyle w:val="ListNumber"/>
        <w:spacing w:after="40" w:line="360" w:lineRule="auto"/>
      </w:pPr>
      <w:r>
        <w:rPr>
          <w:rFonts w:ascii="微软雅黑" w:hAnsi="微软雅黑" w:eastAsia="微软雅黑"/>
          <w:b w:val="0"/>
          <w:sz w:val="21"/>
        </w:rPr>
        <w:t>Borrione L, et al. Home-Use Transcranial Direct Current Stimulation for the Treatment of a Major Depressive Episode: A Randomized Clinical Trial. JAMA Psychiatry. 2024;81(4):329-337. DOI: 10.1001/jamapsychiatry.2023.4948. — PSYLECT 阴性教训</w:t>
      </w:r>
    </w:p>
    <w:p>
      <w:pPr>
        <w:pStyle w:val="ListNumber"/>
        <w:spacing w:after="40" w:line="360" w:lineRule="auto"/>
      </w:pPr>
      <w:r>
        <w:rPr>
          <w:rFonts w:ascii="微软雅黑" w:hAnsi="微软雅黑" w:eastAsia="微软雅黑"/>
          <w:b w:val="0"/>
          <w:sz w:val="21"/>
        </w:rPr>
        <w:t>Brunoni AR, et al. Trial of Electrical Direct-Current Therapy versus Escitalopram for Depression. N Engl J Med. 2017;376(26):2523-2533. PMID: 28657871. — ELECT-TDCS 经典对头对比</w:t>
      </w:r>
    </w:p>
    <w:p>
      <w:pPr>
        <w:pStyle w:val="ListNumber"/>
        <w:spacing w:after="40" w:line="360" w:lineRule="auto"/>
      </w:pPr>
      <w:r>
        <w:rPr>
          <w:rFonts w:ascii="微软雅黑" w:hAnsi="微软雅黑" w:eastAsia="微软雅黑"/>
          <w:b w:val="0"/>
          <w:sz w:val="21"/>
        </w:rPr>
        <w:t>Matsumoto H, Ugawa Y. Adverse events of tDCS and tACS: A review. Clin Neurophysiol Pract. 2016;2:19-25. PMID: 30214966. — tDCS 安全性系统综述</w:t>
      </w:r>
    </w:p>
    <w:p>
      <w:pPr>
        <w:pStyle w:val="ListNumber"/>
        <w:spacing w:after="40" w:line="360" w:lineRule="auto"/>
      </w:pPr>
      <w:r>
        <w:rPr>
          <w:rFonts w:ascii="微软雅黑" w:hAnsi="微软雅黑" w:eastAsia="微软雅黑"/>
          <w:b w:val="0"/>
          <w:sz w:val="21"/>
        </w:rPr>
        <w:t>Brunoni AR, et al. A systematic review on reporting and assessment of adverse effects associated with transcranial direct current stimulation. Int J Neuropsychopharmacol. 2011;14(8):1133-45. PMID: 21320389. — AEQ 量表来源</w:t>
      </w:r>
    </w:p>
    <w:p>
      <w:pPr>
        <w:pStyle w:val="ListNumber"/>
        <w:spacing w:after="40" w:line="360" w:lineRule="auto"/>
      </w:pPr>
      <w:r>
        <w:rPr>
          <w:rFonts w:ascii="微软雅黑" w:hAnsi="微软雅黑" w:eastAsia="微软雅黑"/>
          <w:b w:val="0"/>
          <w:sz w:val="21"/>
        </w:rPr>
        <w:t>Szigeti B, et al. The difference between "placebo group" and "placebo control": a case study in psychedelic microdosing. Sci Rep. 2023;13:12107. DOI: 10.1038/s41598-023-34938-7. — CGR 设盲调整方法</w:t>
      </w:r>
    </w:p>
    <w:p>
      <w:r>
        <w:br w:type="page"/>
      </w:r>
    </w:p>
    <w:p>
      <w:pPr>
        <w:spacing w:before="240" w:after="120"/>
      </w:pPr>
      <w:r>
        <w:rPr>
          <w:rFonts w:ascii="微软雅黑" w:hAnsi="微软雅黑" w:eastAsia="微软雅黑"/>
          <w:b/>
          <w:color w:val="1F497D"/>
          <w:sz w:val="32"/>
        </w:rPr>
        <w:t>附录：Empower 试验完整量表清单</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17"/>
            <w:shd w:val="clear" w:color="auto" w:fill="1F497D"/>
            <w:vAlign w:val="center"/>
          </w:tcPr>
          <w:p>
            <w:pPr>
              <w:jc w:val="center"/>
            </w:pPr>
            <w:r/>
            <w:r>
              <w:rPr>
                <w:rFonts w:ascii="微软雅黑" w:hAnsi="微软雅黑" w:eastAsia="微软雅黑"/>
                <w:b/>
                <w:color w:val="FFFFFF"/>
                <w:sz w:val="20"/>
              </w:rPr>
              <w:t>缩写</w:t>
            </w:r>
          </w:p>
        </w:tc>
        <w:tc>
          <w:tcPr>
            <w:tcW w:type="dxa" w:w="3402"/>
            <w:shd w:val="clear" w:color="auto" w:fill="1F497D"/>
            <w:vAlign w:val="center"/>
          </w:tcPr>
          <w:p>
            <w:pPr>
              <w:jc w:val="center"/>
            </w:pPr>
            <w:r/>
            <w:r>
              <w:rPr>
                <w:rFonts w:ascii="微软雅黑" w:hAnsi="微软雅黑" w:eastAsia="微软雅黑"/>
                <w:b/>
                <w:color w:val="FFFFFF"/>
                <w:sz w:val="20"/>
              </w:rPr>
              <w:t>中文名称</w:t>
            </w:r>
          </w:p>
        </w:tc>
        <w:tc>
          <w:tcPr>
            <w:tcW w:type="dxa" w:w="1984"/>
            <w:shd w:val="clear" w:color="auto" w:fill="1F497D"/>
            <w:vAlign w:val="center"/>
          </w:tcPr>
          <w:p>
            <w:pPr>
              <w:jc w:val="center"/>
            </w:pPr>
            <w:r/>
            <w:r>
              <w:rPr>
                <w:rFonts w:ascii="微软雅黑" w:hAnsi="微软雅黑" w:eastAsia="微软雅黑"/>
                <w:b/>
                <w:color w:val="FFFFFF"/>
                <w:sz w:val="20"/>
              </w:rPr>
              <w:t>用途</w:t>
            </w:r>
          </w:p>
        </w:tc>
        <w:tc>
          <w:tcPr>
            <w:tcW w:type="dxa" w:w="2268"/>
            <w:shd w:val="clear" w:color="auto" w:fill="1F497D"/>
            <w:vAlign w:val="center"/>
          </w:tcPr>
          <w:p>
            <w:pPr>
              <w:jc w:val="center"/>
            </w:pPr>
            <w:r/>
            <w:r>
              <w:rPr>
                <w:rFonts w:ascii="微软雅黑" w:hAnsi="微软雅黑" w:eastAsia="微软雅黑"/>
                <w:b/>
                <w:color w:val="FFFFFF"/>
                <w:sz w:val="20"/>
              </w:rPr>
              <w:t>访视时点</w:t>
            </w:r>
          </w:p>
        </w:tc>
      </w:tr>
      <w:tr>
        <w:tc>
          <w:tcPr>
            <w:tcW w:type="dxa" w:w="1417"/>
            <w:vAlign w:val="center"/>
          </w:tcPr>
          <w:p>
            <w:pPr>
              <w:jc w:val="left"/>
            </w:pPr>
            <w:r/>
            <w:r>
              <w:rPr>
                <w:rFonts w:ascii="微软雅黑" w:hAnsi="微软雅黑" w:eastAsia="微软雅黑"/>
                <w:b w:val="0"/>
                <w:sz w:val="19"/>
              </w:rPr>
              <w:t>HDRS-17</w:t>
            </w:r>
          </w:p>
        </w:tc>
        <w:tc>
          <w:tcPr>
            <w:tcW w:type="dxa" w:w="3402"/>
            <w:vAlign w:val="center"/>
          </w:tcPr>
          <w:p>
            <w:pPr>
              <w:jc w:val="left"/>
            </w:pPr>
            <w:r/>
            <w:r>
              <w:rPr>
                <w:rFonts w:ascii="微软雅黑" w:hAnsi="微软雅黑" w:eastAsia="微软雅黑"/>
                <w:b w:val="0"/>
                <w:sz w:val="19"/>
              </w:rPr>
              <w:t>17 项汉密尔顿抑郁量表</w:t>
            </w:r>
          </w:p>
        </w:tc>
        <w:tc>
          <w:tcPr>
            <w:tcW w:type="dxa" w:w="1984"/>
            <w:vAlign w:val="center"/>
          </w:tcPr>
          <w:p>
            <w:pPr>
              <w:jc w:val="left"/>
            </w:pPr>
            <w:r/>
            <w:r>
              <w:rPr>
                <w:rFonts w:ascii="微软雅黑" w:hAnsi="微软雅黑" w:eastAsia="微软雅黑"/>
                <w:b w:val="0"/>
                <w:sz w:val="19"/>
              </w:rPr>
              <w:t>主要终点</w:t>
            </w:r>
          </w:p>
        </w:tc>
        <w:tc>
          <w:tcPr>
            <w:tcW w:type="dxa" w:w="2268"/>
            <w:vAlign w:val="center"/>
          </w:tcPr>
          <w:p>
            <w:pPr>
              <w:jc w:val="left"/>
            </w:pPr>
            <w:r/>
            <w:r>
              <w:rPr>
                <w:rFonts w:ascii="微软雅黑" w:hAnsi="微软雅黑" w:eastAsia="微软雅黑"/>
                <w:b w:val="0"/>
                <w:sz w:val="19"/>
              </w:rPr>
              <w:t>临床评估</w:t>
            </w:r>
          </w:p>
        </w:tc>
      </w:tr>
      <w:tr>
        <w:tc>
          <w:tcPr>
            <w:tcW w:type="dxa" w:w="1417"/>
            <w:vAlign w:val="center"/>
          </w:tcPr>
          <w:p>
            <w:pPr>
              <w:jc w:val="left"/>
            </w:pPr>
            <w:r/>
            <w:r>
              <w:rPr>
                <w:rFonts w:ascii="微软雅黑" w:hAnsi="微软雅黑" w:eastAsia="微软雅黑"/>
                <w:b w:val="0"/>
                <w:sz w:val="19"/>
              </w:rPr>
              <w:t>MADRS</w:t>
            </w:r>
          </w:p>
        </w:tc>
        <w:tc>
          <w:tcPr>
            <w:tcW w:type="dxa" w:w="3402"/>
            <w:vAlign w:val="center"/>
          </w:tcPr>
          <w:p>
            <w:pPr>
              <w:jc w:val="left"/>
            </w:pPr>
            <w:r/>
            <w:r>
              <w:rPr>
                <w:rFonts w:ascii="微软雅黑" w:hAnsi="微软雅黑" w:eastAsia="微软雅黑"/>
                <w:b w:val="0"/>
                <w:sz w:val="19"/>
              </w:rPr>
              <w:t>蒙哥马利-阿斯伯格抑郁评定量表</w:t>
            </w:r>
          </w:p>
        </w:tc>
        <w:tc>
          <w:tcPr>
            <w:tcW w:type="dxa" w:w="1984"/>
            <w:vAlign w:val="center"/>
          </w:tcPr>
          <w:p>
            <w:pPr>
              <w:jc w:val="left"/>
            </w:pPr>
            <w:r/>
            <w:r>
              <w:rPr>
                <w:rFonts w:ascii="微软雅黑" w:hAnsi="微软雅黑" w:eastAsia="微软雅黑"/>
                <w:b w:val="0"/>
                <w:sz w:val="19"/>
              </w:rPr>
              <w:t>次要终点</w:t>
            </w:r>
          </w:p>
        </w:tc>
        <w:tc>
          <w:tcPr>
            <w:tcW w:type="dxa" w:w="2268"/>
            <w:vAlign w:val="center"/>
          </w:tcPr>
          <w:p>
            <w:pPr>
              <w:jc w:val="left"/>
            </w:pPr>
            <w:r/>
            <w:r>
              <w:rPr>
                <w:rFonts w:ascii="微软雅黑" w:hAnsi="微软雅黑" w:eastAsia="微软雅黑"/>
                <w:b w:val="0"/>
                <w:sz w:val="19"/>
              </w:rPr>
              <w:t>临床评估</w:t>
            </w:r>
          </w:p>
        </w:tc>
      </w:tr>
      <w:tr>
        <w:tc>
          <w:tcPr>
            <w:tcW w:type="dxa" w:w="1417"/>
            <w:vAlign w:val="center"/>
          </w:tcPr>
          <w:p>
            <w:pPr>
              <w:jc w:val="left"/>
            </w:pPr>
            <w:r/>
            <w:r>
              <w:rPr>
                <w:rFonts w:ascii="微软雅黑" w:hAnsi="微软雅黑" w:eastAsia="微软雅黑"/>
                <w:b w:val="0"/>
                <w:sz w:val="19"/>
              </w:rPr>
              <w:t>MADRS-s</w:t>
            </w:r>
          </w:p>
        </w:tc>
        <w:tc>
          <w:tcPr>
            <w:tcW w:type="dxa" w:w="3402"/>
            <w:vAlign w:val="center"/>
          </w:tcPr>
          <w:p>
            <w:pPr>
              <w:jc w:val="left"/>
            </w:pPr>
            <w:r/>
            <w:r>
              <w:rPr>
                <w:rFonts w:ascii="微软雅黑" w:hAnsi="微软雅黑" w:eastAsia="微软雅黑"/>
                <w:b w:val="0"/>
                <w:sz w:val="19"/>
              </w:rPr>
              <w:t>MADRS 患者自评版</w:t>
            </w:r>
          </w:p>
        </w:tc>
        <w:tc>
          <w:tcPr>
            <w:tcW w:type="dxa" w:w="1984"/>
            <w:vAlign w:val="center"/>
          </w:tcPr>
          <w:p>
            <w:pPr>
              <w:jc w:val="left"/>
            </w:pPr>
            <w:r/>
            <w:r>
              <w:rPr>
                <w:rFonts w:ascii="微软雅黑" w:hAnsi="微软雅黑" w:eastAsia="微软雅黑"/>
                <w:b w:val="0"/>
                <w:sz w:val="19"/>
              </w:rPr>
              <w:t>次要终点</w:t>
            </w:r>
          </w:p>
        </w:tc>
        <w:tc>
          <w:tcPr>
            <w:tcW w:type="dxa" w:w="2268"/>
            <w:vAlign w:val="center"/>
          </w:tcPr>
          <w:p>
            <w:pPr>
              <w:jc w:val="left"/>
            </w:pPr>
            <w:r/>
            <w:r>
              <w:rPr>
                <w:rFonts w:ascii="微软雅黑" w:hAnsi="微软雅黑" w:eastAsia="微软雅黑"/>
                <w:b w:val="0"/>
                <w:sz w:val="19"/>
              </w:rPr>
              <w:t>App 自评</w:t>
            </w:r>
          </w:p>
        </w:tc>
      </w:tr>
      <w:tr>
        <w:tc>
          <w:tcPr>
            <w:tcW w:type="dxa" w:w="1417"/>
            <w:vAlign w:val="center"/>
          </w:tcPr>
          <w:p>
            <w:pPr>
              <w:jc w:val="left"/>
            </w:pPr>
            <w:r/>
            <w:r>
              <w:rPr>
                <w:rFonts w:ascii="微软雅黑" w:hAnsi="微软雅黑" w:eastAsia="微软雅黑"/>
                <w:b w:val="0"/>
                <w:sz w:val="19"/>
              </w:rPr>
              <w:t>C-SSRS</w:t>
            </w:r>
          </w:p>
        </w:tc>
        <w:tc>
          <w:tcPr>
            <w:tcW w:type="dxa" w:w="3402"/>
            <w:vAlign w:val="center"/>
          </w:tcPr>
          <w:p>
            <w:pPr>
              <w:jc w:val="left"/>
            </w:pPr>
            <w:r/>
            <w:r>
              <w:rPr>
                <w:rFonts w:ascii="微软雅黑" w:hAnsi="微软雅黑" w:eastAsia="微软雅黑"/>
                <w:b w:val="0"/>
                <w:sz w:val="19"/>
              </w:rPr>
              <w:t>哥伦比亚自杀严重程度评定量表</w:t>
            </w:r>
          </w:p>
        </w:tc>
        <w:tc>
          <w:tcPr>
            <w:tcW w:type="dxa" w:w="1984"/>
            <w:vAlign w:val="center"/>
          </w:tcPr>
          <w:p>
            <w:pPr>
              <w:jc w:val="left"/>
            </w:pPr>
            <w:r/>
            <w:r>
              <w:rPr>
                <w:rFonts w:ascii="微软雅黑" w:hAnsi="微软雅黑" w:eastAsia="微软雅黑"/>
                <w:b w:val="0"/>
                <w:sz w:val="19"/>
              </w:rPr>
              <w:t>安全监测</w:t>
            </w:r>
          </w:p>
        </w:tc>
        <w:tc>
          <w:tcPr>
            <w:tcW w:type="dxa" w:w="2268"/>
            <w:vAlign w:val="center"/>
          </w:tcPr>
          <w:p>
            <w:pPr>
              <w:jc w:val="left"/>
            </w:pPr>
            <w:r/>
            <w:r>
              <w:rPr>
                <w:rFonts w:ascii="微软雅黑" w:hAnsi="微软雅黑" w:eastAsia="微软雅黑"/>
                <w:b w:val="0"/>
                <w:sz w:val="19"/>
              </w:rPr>
              <w:t>每次访视</w:t>
            </w:r>
          </w:p>
        </w:tc>
      </w:tr>
      <w:tr>
        <w:tc>
          <w:tcPr>
            <w:tcW w:type="dxa" w:w="1417"/>
            <w:vAlign w:val="center"/>
          </w:tcPr>
          <w:p>
            <w:pPr>
              <w:jc w:val="left"/>
            </w:pPr>
            <w:r/>
            <w:r>
              <w:rPr>
                <w:rFonts w:ascii="微软雅黑" w:hAnsi="微软雅黑" w:eastAsia="微软雅黑"/>
                <w:b w:val="0"/>
                <w:sz w:val="19"/>
              </w:rPr>
              <w:t>YMRS</w:t>
            </w:r>
          </w:p>
        </w:tc>
        <w:tc>
          <w:tcPr>
            <w:tcW w:type="dxa" w:w="3402"/>
            <w:vAlign w:val="center"/>
          </w:tcPr>
          <w:p>
            <w:pPr>
              <w:jc w:val="left"/>
            </w:pPr>
            <w:r/>
            <w:r>
              <w:rPr>
                <w:rFonts w:ascii="微软雅黑" w:hAnsi="微软雅黑" w:eastAsia="微软雅黑"/>
                <w:b w:val="0"/>
                <w:sz w:val="19"/>
              </w:rPr>
              <w:t>Young 躁狂评定量表</w:t>
            </w:r>
          </w:p>
        </w:tc>
        <w:tc>
          <w:tcPr>
            <w:tcW w:type="dxa" w:w="1984"/>
            <w:vAlign w:val="center"/>
          </w:tcPr>
          <w:p>
            <w:pPr>
              <w:jc w:val="left"/>
            </w:pPr>
            <w:r/>
            <w:r>
              <w:rPr>
                <w:rFonts w:ascii="微软雅黑" w:hAnsi="微软雅黑" w:eastAsia="微软雅黑"/>
                <w:b w:val="0"/>
                <w:sz w:val="19"/>
              </w:rPr>
              <w:t>安全监测</w:t>
            </w:r>
          </w:p>
        </w:tc>
        <w:tc>
          <w:tcPr>
            <w:tcW w:type="dxa" w:w="2268"/>
            <w:vAlign w:val="center"/>
          </w:tcPr>
          <w:p>
            <w:pPr>
              <w:jc w:val="left"/>
            </w:pPr>
            <w:r/>
            <w:r>
              <w:rPr>
                <w:rFonts w:ascii="微软雅黑" w:hAnsi="微软雅黑" w:eastAsia="微软雅黑"/>
                <w:b w:val="0"/>
                <w:sz w:val="19"/>
              </w:rPr>
              <w:t>每次访视</w:t>
            </w:r>
          </w:p>
        </w:tc>
      </w:tr>
      <w:tr>
        <w:tc>
          <w:tcPr>
            <w:tcW w:type="dxa" w:w="1417"/>
            <w:vAlign w:val="center"/>
          </w:tcPr>
          <w:p>
            <w:pPr>
              <w:jc w:val="left"/>
            </w:pPr>
            <w:r/>
            <w:r>
              <w:rPr>
                <w:rFonts w:ascii="微软雅黑" w:hAnsi="微软雅黑" w:eastAsia="微软雅黑"/>
                <w:b w:val="0"/>
                <w:sz w:val="19"/>
              </w:rPr>
              <w:t>HAM-A</w:t>
            </w:r>
          </w:p>
        </w:tc>
        <w:tc>
          <w:tcPr>
            <w:tcW w:type="dxa" w:w="3402"/>
            <w:vAlign w:val="center"/>
          </w:tcPr>
          <w:p>
            <w:pPr>
              <w:jc w:val="left"/>
            </w:pPr>
            <w:r/>
            <w:r>
              <w:rPr>
                <w:rFonts w:ascii="微软雅黑" w:hAnsi="微软雅黑" w:eastAsia="微软雅黑"/>
                <w:b w:val="0"/>
                <w:sz w:val="19"/>
              </w:rPr>
              <w:t>Hamilton 焦虑量表</w:t>
            </w:r>
          </w:p>
        </w:tc>
        <w:tc>
          <w:tcPr>
            <w:tcW w:type="dxa" w:w="1984"/>
            <w:vAlign w:val="center"/>
          </w:tcPr>
          <w:p>
            <w:pPr>
              <w:jc w:val="left"/>
            </w:pPr>
            <w:r/>
            <w:r>
              <w:rPr>
                <w:rFonts w:ascii="微软雅黑" w:hAnsi="微软雅黑" w:eastAsia="微软雅黑"/>
                <w:b w:val="0"/>
                <w:sz w:val="19"/>
              </w:rPr>
              <w:t>基线 + Wk 10/20</w:t>
            </w:r>
          </w:p>
        </w:tc>
        <w:tc>
          <w:tcPr>
            <w:tcW w:type="dxa" w:w="2268"/>
            <w:vAlign w:val="center"/>
          </w:tcPr>
          <w:p>
            <w:pPr>
              <w:jc w:val="left"/>
            </w:pPr>
            <w:r/>
            <w:r>
              <w:rPr>
                <w:rFonts w:ascii="微软雅黑" w:hAnsi="微软雅黑" w:eastAsia="微软雅黑"/>
                <w:b w:val="0"/>
                <w:sz w:val="19"/>
              </w:rPr>
              <w:t>临床评估</w:t>
            </w:r>
          </w:p>
        </w:tc>
      </w:tr>
      <w:tr>
        <w:tc>
          <w:tcPr>
            <w:tcW w:type="dxa" w:w="1417"/>
            <w:vAlign w:val="center"/>
          </w:tcPr>
          <w:p>
            <w:pPr>
              <w:jc w:val="left"/>
            </w:pPr>
            <w:r/>
            <w:r>
              <w:rPr>
                <w:rFonts w:ascii="微软雅黑" w:hAnsi="微软雅黑" w:eastAsia="微软雅黑"/>
                <w:b w:val="0"/>
                <w:sz w:val="19"/>
              </w:rPr>
              <w:t>EQ-5D-3L</w:t>
            </w:r>
          </w:p>
        </w:tc>
        <w:tc>
          <w:tcPr>
            <w:tcW w:type="dxa" w:w="3402"/>
            <w:vAlign w:val="center"/>
          </w:tcPr>
          <w:p>
            <w:pPr>
              <w:jc w:val="left"/>
            </w:pPr>
            <w:r/>
            <w:r>
              <w:rPr>
                <w:rFonts w:ascii="微软雅黑" w:hAnsi="微软雅黑" w:eastAsia="微软雅黑"/>
                <w:b w:val="0"/>
                <w:sz w:val="19"/>
              </w:rPr>
              <w:t>EuroQol 5 维 3 级生活质量量表</w:t>
            </w:r>
          </w:p>
        </w:tc>
        <w:tc>
          <w:tcPr>
            <w:tcW w:type="dxa" w:w="1984"/>
            <w:vAlign w:val="center"/>
          </w:tcPr>
          <w:p>
            <w:pPr>
              <w:jc w:val="left"/>
            </w:pPr>
            <w:r/>
            <w:r>
              <w:rPr>
                <w:rFonts w:ascii="微软雅黑" w:hAnsi="微软雅黑" w:eastAsia="微软雅黑"/>
                <w:b w:val="0"/>
                <w:sz w:val="19"/>
              </w:rPr>
              <w:t>次要终点</w:t>
            </w:r>
          </w:p>
        </w:tc>
        <w:tc>
          <w:tcPr>
            <w:tcW w:type="dxa" w:w="2268"/>
            <w:vAlign w:val="center"/>
          </w:tcPr>
          <w:p>
            <w:pPr>
              <w:jc w:val="left"/>
            </w:pPr>
            <w:r/>
            <w:r>
              <w:rPr>
                <w:rFonts w:ascii="微软雅黑" w:hAnsi="微软雅黑" w:eastAsia="微软雅黑"/>
                <w:b w:val="0"/>
                <w:sz w:val="19"/>
              </w:rPr>
              <w:t>基线 + Wk 10/20</w:t>
            </w:r>
          </w:p>
        </w:tc>
      </w:tr>
      <w:tr>
        <w:tc>
          <w:tcPr>
            <w:tcW w:type="dxa" w:w="1417"/>
            <w:vAlign w:val="center"/>
          </w:tcPr>
          <w:p>
            <w:pPr>
              <w:jc w:val="left"/>
            </w:pPr>
            <w:r/>
            <w:r>
              <w:rPr>
                <w:rFonts w:ascii="微软雅黑" w:hAnsi="微软雅黑" w:eastAsia="微软雅黑"/>
                <w:b w:val="0"/>
                <w:sz w:val="19"/>
              </w:rPr>
              <w:t>RAVLT</w:t>
            </w:r>
          </w:p>
        </w:tc>
        <w:tc>
          <w:tcPr>
            <w:tcW w:type="dxa" w:w="3402"/>
            <w:vAlign w:val="center"/>
          </w:tcPr>
          <w:p>
            <w:pPr>
              <w:jc w:val="left"/>
            </w:pPr>
            <w:r/>
            <w:r>
              <w:rPr>
                <w:rFonts w:ascii="微软雅黑" w:hAnsi="微软雅黑" w:eastAsia="微软雅黑"/>
                <w:b w:val="0"/>
                <w:sz w:val="19"/>
              </w:rPr>
              <w:t>Rey 听觉词语学习测试</w:t>
            </w:r>
          </w:p>
        </w:tc>
        <w:tc>
          <w:tcPr>
            <w:tcW w:type="dxa" w:w="1984"/>
            <w:vAlign w:val="center"/>
          </w:tcPr>
          <w:p>
            <w:pPr>
              <w:jc w:val="left"/>
            </w:pPr>
            <w:r/>
            <w:r>
              <w:rPr>
                <w:rFonts w:ascii="微软雅黑" w:hAnsi="微软雅黑" w:eastAsia="微软雅黑"/>
                <w:b w:val="0"/>
                <w:sz w:val="19"/>
              </w:rPr>
              <w:t>认知功能</w:t>
            </w:r>
          </w:p>
        </w:tc>
        <w:tc>
          <w:tcPr>
            <w:tcW w:type="dxa" w:w="2268"/>
            <w:vAlign w:val="center"/>
          </w:tcPr>
          <w:p>
            <w:pPr>
              <w:jc w:val="left"/>
            </w:pPr>
            <w:r/>
            <w:r>
              <w:rPr>
                <w:rFonts w:ascii="微软雅黑" w:hAnsi="微软雅黑" w:eastAsia="微软雅黑"/>
                <w:b w:val="0"/>
                <w:sz w:val="19"/>
              </w:rPr>
              <w:t>基线 + Wk 10/20</w:t>
            </w:r>
          </w:p>
        </w:tc>
      </w:tr>
      <w:tr>
        <w:tc>
          <w:tcPr>
            <w:tcW w:type="dxa" w:w="1417"/>
            <w:vAlign w:val="center"/>
          </w:tcPr>
          <w:p>
            <w:pPr>
              <w:jc w:val="left"/>
            </w:pPr>
            <w:r/>
            <w:r>
              <w:rPr>
                <w:rFonts w:ascii="微软雅黑" w:hAnsi="微软雅黑" w:eastAsia="微软雅黑"/>
                <w:b w:val="0"/>
                <w:sz w:val="19"/>
              </w:rPr>
              <w:t>SDMT</w:t>
            </w:r>
          </w:p>
        </w:tc>
        <w:tc>
          <w:tcPr>
            <w:tcW w:type="dxa" w:w="3402"/>
            <w:vAlign w:val="center"/>
          </w:tcPr>
          <w:p>
            <w:pPr>
              <w:jc w:val="left"/>
            </w:pPr>
            <w:r/>
            <w:r>
              <w:rPr>
                <w:rFonts w:ascii="微软雅黑" w:hAnsi="微软雅黑" w:eastAsia="微软雅黑"/>
                <w:b w:val="0"/>
                <w:sz w:val="19"/>
              </w:rPr>
              <w:t>符号数字模式测试</w:t>
            </w:r>
          </w:p>
        </w:tc>
        <w:tc>
          <w:tcPr>
            <w:tcW w:type="dxa" w:w="1984"/>
            <w:vAlign w:val="center"/>
          </w:tcPr>
          <w:p>
            <w:pPr>
              <w:jc w:val="left"/>
            </w:pPr>
            <w:r/>
            <w:r>
              <w:rPr>
                <w:rFonts w:ascii="微软雅黑" w:hAnsi="微软雅黑" w:eastAsia="微软雅黑"/>
                <w:b w:val="0"/>
                <w:sz w:val="19"/>
              </w:rPr>
              <w:t>认知功能（选做）</w:t>
            </w:r>
          </w:p>
        </w:tc>
        <w:tc>
          <w:tcPr>
            <w:tcW w:type="dxa" w:w="2268"/>
            <w:vAlign w:val="center"/>
          </w:tcPr>
          <w:p>
            <w:pPr>
              <w:jc w:val="left"/>
            </w:pPr>
            <w:r/>
            <w:r>
              <w:rPr>
                <w:rFonts w:ascii="微软雅黑" w:hAnsi="微软雅黑" w:eastAsia="微软雅黑"/>
                <w:b w:val="0"/>
                <w:sz w:val="19"/>
              </w:rPr>
            </w:r>
          </w:p>
        </w:tc>
      </w:tr>
      <w:tr>
        <w:tc>
          <w:tcPr>
            <w:tcW w:type="dxa" w:w="1417"/>
            <w:vAlign w:val="center"/>
          </w:tcPr>
          <w:p>
            <w:pPr>
              <w:jc w:val="left"/>
            </w:pPr>
            <w:r/>
            <w:r>
              <w:rPr>
                <w:rFonts w:ascii="微软雅黑" w:hAnsi="微软雅黑" w:eastAsia="微软雅黑"/>
                <w:b w:val="0"/>
                <w:sz w:val="19"/>
              </w:rPr>
              <w:t>TAQ</w:t>
            </w:r>
          </w:p>
        </w:tc>
        <w:tc>
          <w:tcPr>
            <w:tcW w:type="dxa" w:w="3402"/>
            <w:vAlign w:val="center"/>
          </w:tcPr>
          <w:p>
            <w:pPr>
              <w:jc w:val="left"/>
            </w:pPr>
            <w:r/>
            <w:r>
              <w:rPr>
                <w:rFonts w:ascii="微软雅黑" w:hAnsi="微软雅黑" w:eastAsia="微软雅黑"/>
                <w:b w:val="0"/>
                <w:sz w:val="19"/>
              </w:rPr>
              <w:t>治疗接受性问卷</w:t>
            </w:r>
          </w:p>
        </w:tc>
        <w:tc>
          <w:tcPr>
            <w:tcW w:type="dxa" w:w="1984"/>
            <w:vAlign w:val="center"/>
          </w:tcPr>
          <w:p>
            <w:pPr>
              <w:jc w:val="left"/>
            </w:pPr>
            <w:r/>
            <w:r>
              <w:rPr>
                <w:rFonts w:ascii="微软雅黑" w:hAnsi="微软雅黑" w:eastAsia="微软雅黑"/>
                <w:b w:val="0"/>
                <w:sz w:val="19"/>
              </w:rPr>
              <w:t>受试者体验</w:t>
            </w:r>
          </w:p>
        </w:tc>
        <w:tc>
          <w:tcPr>
            <w:tcW w:type="dxa" w:w="2268"/>
            <w:vAlign w:val="center"/>
          </w:tcPr>
          <w:p>
            <w:pPr>
              <w:jc w:val="left"/>
            </w:pPr>
            <w:r/>
            <w:r>
              <w:rPr>
                <w:rFonts w:ascii="微软雅黑" w:hAnsi="微软雅黑" w:eastAsia="微软雅黑"/>
                <w:b w:val="0"/>
                <w:sz w:val="19"/>
              </w:rPr>
              <w:t>基线 + Wk 10/20</w:t>
            </w:r>
          </w:p>
        </w:tc>
      </w:tr>
      <w:tr>
        <w:tc>
          <w:tcPr>
            <w:tcW w:type="dxa" w:w="1417"/>
            <w:vAlign w:val="center"/>
          </w:tcPr>
          <w:p>
            <w:pPr>
              <w:jc w:val="left"/>
            </w:pPr>
            <w:r/>
            <w:r>
              <w:rPr>
                <w:rFonts w:ascii="微软雅黑" w:hAnsi="微软雅黑" w:eastAsia="微软雅黑"/>
                <w:b w:val="0"/>
                <w:sz w:val="19"/>
              </w:rPr>
              <w:t>AEQ</w:t>
            </w:r>
          </w:p>
        </w:tc>
        <w:tc>
          <w:tcPr>
            <w:tcW w:type="dxa" w:w="3402"/>
            <w:vAlign w:val="center"/>
          </w:tcPr>
          <w:p>
            <w:pPr>
              <w:jc w:val="left"/>
            </w:pPr>
            <w:r/>
            <w:r>
              <w:rPr>
                <w:rFonts w:ascii="微软雅黑" w:hAnsi="微软雅黑" w:eastAsia="微软雅黑"/>
                <w:b w:val="0"/>
                <w:sz w:val="19"/>
              </w:rPr>
              <w:t>不良事件问卷</w:t>
            </w:r>
          </w:p>
        </w:tc>
        <w:tc>
          <w:tcPr>
            <w:tcW w:type="dxa" w:w="1984"/>
            <w:vAlign w:val="center"/>
          </w:tcPr>
          <w:p>
            <w:pPr>
              <w:jc w:val="left"/>
            </w:pPr>
            <w:r/>
            <w:r>
              <w:rPr>
                <w:rFonts w:ascii="微软雅黑" w:hAnsi="微软雅黑" w:eastAsia="微软雅黑"/>
                <w:b w:val="0"/>
                <w:sz w:val="19"/>
              </w:rPr>
              <w:t>安全终点</w:t>
            </w:r>
          </w:p>
        </w:tc>
        <w:tc>
          <w:tcPr>
            <w:tcW w:type="dxa" w:w="2268"/>
            <w:vAlign w:val="center"/>
          </w:tcPr>
          <w:p>
            <w:pPr>
              <w:jc w:val="left"/>
            </w:pPr>
            <w:r/>
            <w:r>
              <w:rPr>
                <w:rFonts w:ascii="微软雅黑" w:hAnsi="微软雅黑" w:eastAsia="微软雅黑"/>
                <w:b w:val="0"/>
                <w:sz w:val="19"/>
              </w:rPr>
              <w:t>Wk 10 + 20</w:t>
            </w:r>
          </w:p>
        </w:tc>
      </w:tr>
      <w:tr>
        <w:tc>
          <w:tcPr>
            <w:tcW w:type="dxa" w:w="1417"/>
            <w:vAlign w:val="center"/>
          </w:tcPr>
          <w:p>
            <w:pPr>
              <w:jc w:val="left"/>
            </w:pPr>
            <w:r/>
            <w:r>
              <w:rPr>
                <w:rFonts w:ascii="微软雅黑" w:hAnsi="微软雅黑" w:eastAsia="微软雅黑"/>
                <w:b w:val="0"/>
                <w:sz w:val="19"/>
              </w:rPr>
              <w:t>MINI</w:t>
            </w:r>
          </w:p>
        </w:tc>
        <w:tc>
          <w:tcPr>
            <w:tcW w:type="dxa" w:w="3402"/>
            <w:vAlign w:val="center"/>
          </w:tcPr>
          <w:p>
            <w:pPr>
              <w:jc w:val="left"/>
            </w:pPr>
            <w:r/>
            <w:r>
              <w:rPr>
                <w:rFonts w:ascii="微软雅黑" w:hAnsi="微软雅黑" w:eastAsia="微软雅黑"/>
                <w:b w:val="0"/>
                <w:sz w:val="19"/>
              </w:rPr>
              <w:t>MINI 国际神经精神访谈</w:t>
            </w:r>
          </w:p>
        </w:tc>
        <w:tc>
          <w:tcPr>
            <w:tcW w:type="dxa" w:w="1984"/>
            <w:vAlign w:val="center"/>
          </w:tcPr>
          <w:p>
            <w:pPr>
              <w:jc w:val="left"/>
            </w:pPr>
            <w:r/>
            <w:r>
              <w:rPr>
                <w:rFonts w:ascii="微软雅黑" w:hAnsi="微软雅黑" w:eastAsia="微软雅黑"/>
                <w:b w:val="0"/>
                <w:sz w:val="19"/>
              </w:rPr>
              <w:t>基线诊断</w:t>
            </w:r>
          </w:p>
        </w:tc>
        <w:tc>
          <w:tcPr>
            <w:tcW w:type="dxa" w:w="2268"/>
            <w:vAlign w:val="center"/>
          </w:tcPr>
          <w:p>
            <w:pPr>
              <w:jc w:val="left"/>
            </w:pPr>
            <w:r/>
            <w:r>
              <w:rPr>
                <w:rFonts w:ascii="微软雅黑" w:hAnsi="微软雅黑" w:eastAsia="微软雅黑"/>
                <w:b w:val="0"/>
                <w:sz w:val="19"/>
              </w:rPr>
              <w:t>筛选期</w:t>
            </w:r>
          </w:p>
        </w:tc>
      </w:tr>
    </w:tbl>
    <w:p>
      <w:pPr>
        <w:spacing w:after="80" w:line="360" w:lineRule="auto"/>
        <w:ind w:firstLine="420"/>
      </w:pPr>
      <w:r>
        <w:rPr>
          <w:rFonts w:ascii="微软雅黑" w:hAnsi="微软雅黑" w:eastAsia="微软雅黑"/>
          <w:b w:val="0"/>
          <w:sz w:val="21"/>
        </w:rPr>
      </w:r>
    </w:p>
    <w:p>
      <w:pPr>
        <w:spacing w:before="400"/>
        <w:jc w:val="center"/>
      </w:pPr>
      <w:r>
        <w:rPr>
          <w:rFonts w:ascii="微软雅黑" w:hAnsi="微软雅黑" w:eastAsia="微软雅黑"/>
          <w:b w:val="0"/>
          <w:color w:val="595959"/>
          <w:sz w:val="22"/>
        </w:rPr>
        <w:t>—— 报告完 · 全部内容基于 FDA PMA P230024 SSED（35 页）逐项梳理 ——</w:t>
      </w:r>
    </w:p>
    <w:p>
      <w:pPr>
        <w:spacing w:before="240" w:after="120"/>
      </w:pPr>
      <w:r>
        <w:rPr>
          <w:rFonts w:ascii="微软雅黑" w:hAnsi="微软雅黑" w:eastAsia="微软雅黑"/>
          <w:b/>
          <w:color w:val="365F91"/>
          <w:sz w:val="27"/>
        </w:rPr>
        <w:t>免责声明</w:t>
      </w:r>
    </w:p>
    <w:p>
      <w:pPr>
        <w:spacing w:after="80" w:line="360" w:lineRule="auto"/>
        <w:ind w:firstLine="420"/>
      </w:pPr>
      <w:r>
        <w:rPr>
          <w:rFonts w:ascii="微软雅黑" w:hAnsi="微软雅黑" w:eastAsia="微软雅黑"/>
          <w:b w:val="0"/>
          <w:color w:val="595959"/>
          <w:sz w:val="20"/>
        </w:rPr>
        <w:t>本报告内容全部来源于 FDA 于 2025-12-08 公开发布的 PMA P230024 Summary of Safety and Effectiveness Data （SSED）原文；中文翻译由 AI 完成，专业术语建议由 Starstim 项目组的精神科顾问二次审核。"【中国注册参考】"标签内容为本报告作者基于中国 NMPA 现行法规与临床惯例的经验建议，不构成法律或注册意见。正式方案启动前请与 CDE 通过 Pre-submission 会议确认关键要素。</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