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CostNav-Based AI Proposal (Extended): FX Exposure, Tax Effects, and Forward Pricing</w:t>
      </w:r>
    </w:p>
    <w:p>
      <w:pPr>
        <w:spacing w:after="240"/>
      </w:pPr>
      <w:r>
        <w:t xml:space="preserve">본 문서는 CostNav 기반의 의사결정 지원 AI를 글로벌 실무 환경에 맞게 확장하여, 환율(FX) 노출(거래/환산/경제적 노출), 대규모 CAPEX 분할 지급 구조, 고정환율 계약, 세금 효과, 그리고 선도환(Forward) 가격 이론(Forward Pricing Theory)까지 포함한 수학적 모델링 방향을 제시합니다.</w:t>
      </w:r>
    </w:p>
    <w:p>
      <w:pPr>
        <w:pStyle w:val="Heading1"/>
      </w:pPr>
      <w:r>
        <w:t xml:space="preserve">1. 실무 관점: FX 리스크를 왜 "구조적으로" 모델링해야 하는가</w:t>
      </w:r>
    </w:p>
    <w:p>
      <w:pPr>
        <w:spacing w:after="200"/>
      </w:pPr>
      <w:r>
        <w:t xml:space="preserve">CostNav의 핵심은 "운영 결과(성공/실패, 시간, SLA) → 경제적 결과(수익/비용/이윤/BEP)"를 명시적 변수로 연결하는 것입니다. 글로벌 운영에서는 여기에 FX가 곱해지며, FX는 단순 환산이 아니라 현금흐름 타이밍, 계약 통화, 헤지 여부에 따라 손익과 리스크를 크게 바꿉니다.</w:t>
      </w:r>
    </w:p>
    <w:p>
      <w:pPr>
        <w:pStyle w:val="Heading1"/>
      </w:pPr>
      <w:r>
        <w:t xml:space="preserve">2. FX 노출(Exposure) 3종: Transaction / Translation / Economic</w:t>
      </w:r>
    </w:p>
    <w:p>
      <w:pPr>
        <w:pStyle w:val="Heading2"/>
      </w:pPr>
      <w:r>
        <w:t xml:space="preserve">2.1 Transaction Exposure (거래 노출)</w:t>
      </w:r>
    </w:p>
    <w:p>
      <w:r>
        <w:rPr>
          <w:b/>
          <w:bCs/>
        </w:rPr>
        <w:t xml:space="preserve">의미: </w:t>
      </w:r>
      <w:r>
        <w:t xml:space="preserve">미래 특정 시점에 확정되는 외화 현금흐름(매출/매입/부품 구매/서비스 비용)의 환율 변동 리스크.</w:t>
      </w:r>
    </w:p>
    <w:p>
      <w:pPr>
        <w:spacing w:after="200"/>
      </w:pPr>
      <w:r>
        <w:rPr>
          <w:b/>
          <w:bCs/>
        </w:rPr>
        <w:t xml:space="preserve">CostNav 통합 포인트: </w:t>
      </w:r>
      <w:r>
        <w:t xml:space="preserve">(i) CAPEX/OPEX 항목별 지급 시점, (ii) 통화, (iii) 가격조정/헤지 여부를 현금흐름으로 모델링.</w:t>
      </w:r>
    </w:p>
    <w:p>
      <w:pPr>
        <w:pStyle w:val="Heading2"/>
      </w:pPr>
      <w:r>
        <w:t xml:space="preserve">2.2 Translation Exposure (환산 노출)</w:t>
      </w:r>
    </w:p>
    <w:p>
      <w:r>
        <w:rPr>
          <w:b/>
          <w:bCs/>
        </w:rPr>
        <w:t xml:space="preserve">의미: </w:t>
      </w:r>
      <w:r>
        <w:t xml:space="preserve">해외법인 재무제표를 본사 통화로 연결(Consolidation)할 때 발생하는 환산 효과.</w:t>
      </w:r>
    </w:p>
    <w:p>
      <w:pPr>
        <w:spacing w:after="200"/>
      </w:pPr>
      <w:r>
        <w:rPr>
          <w:b/>
          <w:bCs/>
        </w:rPr>
        <w:t xml:space="preserve">CostNav 통합 포인트: </w:t>
      </w:r>
      <w:r>
        <w:t xml:space="preserve">로컬 손익(운영 KPI)과 본사 연결 손익(보고 KPI)을 분리해 계산 후, 보고 환율 규칙으로 환산.</w:t>
      </w:r>
    </w:p>
    <w:p>
      <w:pPr>
        <w:pStyle w:val="Heading2"/>
      </w:pPr>
      <w:r>
        <w:t xml:space="preserve">2.3 Economic Exposure (경제적 노출)</w:t>
      </w:r>
    </w:p>
    <w:p>
      <w:r>
        <w:rPr>
          <w:b/>
          <w:bCs/>
        </w:rPr>
        <w:t xml:space="preserve">의미: </w:t>
      </w:r>
      <w:r>
        <w:t xml:space="preserve">FX 변동이 장기적으로 경쟁력/가격/수요/시장점유율/조달단가를 바꾸는 구조적 리스크.</w:t>
      </w:r>
    </w:p>
    <w:p>
      <w:pPr>
        <w:spacing w:after="200"/>
      </w:pPr>
      <w:r>
        <w:rPr>
          <w:b/>
          <w:bCs/>
        </w:rPr>
        <w:t xml:space="preserve">CostNav 통합 포인트: </w:t>
      </w:r>
      <w:r>
        <w:t xml:space="preserve">단기 현금흐름 외에도, 가격 전가(pass-through), 수요 탄력성, 공급망 재편 비용 등을 장기 시나리오 파라미터로 포함.</w:t>
      </w:r>
    </w:p>
    <w:p>
      <w:pPr>
        <w:pStyle w:val="Heading1"/>
      </w:pPr>
      <w:r>
        <w:t xml:space="preserve">3. CostNav 경제식에 FX를 통합하는 "표준 구조"</w:t>
      </w:r>
    </w:p>
    <w:p>
      <w:r>
        <w:t xml:space="preserve">기준(리포팅) 통화를 B로 두고, 통화 집합 𝒦={USD, KRW, JPY, EUR,...}를 정의합니다. 시간 t에서 통화 k를 B로 바꾸는 환율을 S</w:t>
      </w:r>
      <w:r>
        <w:t xml:space="preserve">_{k→B}</w:t>
      </w:r>
      <w:r>
        <w:t xml:space="preserve">(t)로 두면, 기준통화 손익은 다음과 같이 통합됩니다.</w:t>
      </w:r>
    </w:p>
    <w:p>
      <w:pPr>
        <w:spacing w:before="200" w:after="200"/>
        <w:jc w:val="center"/>
      </w:pPr>
      <w:r>
        <w:rPr>
          <w:i/>
          <w:iCs/>
        </w:rPr>
        <w:t xml:space="preserve">Profit</w:t>
      </w:r>
      <w:r>
        <w:t xml:space="preserve">_B</w:t>
      </w:r>
      <w:r>
        <w:t xml:space="preserve">(t) = Σ</w:t>
      </w:r>
      <w:r>
        <w:t xml:space="preserve">_{k∈𝒦}</w:t>
      </w:r>
      <w:r>
        <w:t xml:space="preserve"> [ R</w:t>
      </w:r>
      <w:r>
        <w:t xml:space="preserve">_k</w:t>
      </w:r>
      <w:r>
        <w:t xml:space="preserve">(t) − C</w:t>
      </w:r>
      <w:r>
        <w:t xml:space="preserve">_pre,k</w:t>
      </w:r>
      <w:r>
        <w:t xml:space="preserve">(t) − C</w:t>
      </w:r>
      <w:r>
        <w:t xml:space="preserve">_run,k</w:t>
      </w:r>
      <w:r>
        <w:t xml:space="preserve">(t) ] · S</w:t>
      </w:r>
      <w:r>
        <w:t xml:space="preserve">_{k→B}</w:t>
      </w:r>
      <w:r>
        <w:t xml:space="preserve">(t)</w:t>
      </w:r>
    </w:p>
    <w:p>
      <w:pPr>
        <w:spacing w:after="200"/>
      </w:pPr>
      <w:r>
        <w:t xml:space="preserve">이 구조는 (i) 매출/비용이 발생하는 통화와 (ii) 현금흐름 시점(t)을 동시에 반영합니다. 또한 CostNav의 Profit per run, BEP 등 핵심 지표를 그대로 유지하면서 FX가 영향을 주는 경로만 명시적으로 추가합니다.</w:t>
      </w:r>
    </w:p>
    <w:p>
      <w:pPr>
        <w:pStyle w:val="Heading1"/>
      </w:pPr>
      <w:r>
        <w:t xml:space="preserve">4. 대규모 프로젝트 CAPEX 분할 지급(Installments) 모델</w:t>
      </w:r>
    </w:p>
    <w:p>
      <w:r>
        <w:t xml:space="preserve">대형 데이터센터/인프라 프로젝트에서는 CAPEX가 일시 지급이 아니라 마일스톤 기반 분할 지급인 경우가 많습니다. 이는 거래 노출(Transaction exposure)을 근본적으로 바꿉니다. CAPEX를 N개의 지급 일정으로 분해합니다.</w:t>
      </w:r>
    </w:p>
    <w:p>
      <w:pPr>
        <w:spacing w:before="200" w:after="200"/>
        <w:jc w:val="center"/>
      </w:pPr>
      <w:r>
        <w:t xml:space="preserve">C</w:t>
      </w:r>
      <w:r>
        <w:t xml:space="preserve">_fixed,B</w:t>
      </w:r>
      <w:r>
        <w:t xml:space="preserve"> = Σ</w:t>
      </w:r>
      <w:r>
        <w:t xml:space="preserve">_{i=1..N}</w:t>
      </w:r>
      <w:r>
        <w:t xml:space="preserve"> [ CAPEX</w:t>
      </w:r>
      <w:r>
        <w:t xml:space="preserve">_k</w:t>
      </w:r>
      <w:r>
        <w:t xml:space="preserve">(i) · S</w:t>
      </w:r>
      <w:r>
        <w:t xml:space="preserve">_{k→B}</w:t>
      </w:r>
      <w:r>
        <w:t xml:space="preserve">(t</w:t>
      </w:r>
      <w:r>
        <w:t xml:space="preserve">_i</w:t>
      </w:r>
      <w:r>
        <w:t xml:space="preserve">) ]</w:t>
      </w:r>
    </w:p>
    <w:p>
      <w:pPr>
        <w:spacing w:after="200"/>
      </w:pPr>
      <w:r>
        <w:t xml:space="preserve">여기서 t</w:t>
      </w:r>
      <w:r>
        <w:t xml:space="preserve">_i</w:t>
      </w:r>
      <w:r>
        <w:t xml:space="preserve">는 지급 시점, CAPEX</w:t>
      </w:r>
      <w:r>
        <w:t xml:space="preserve">_k</w:t>
      </w:r>
      <w:r>
        <w:t xml:space="preserve">(i)는 i번째 분할 지급의 통화 k 기준 금액입니다. 이렇게 하면 "환율 변동 × 지급 타이밍"이 BEP와 NPV에 미치는 영향이 자연스럽게 반영됩니다.</w:t>
      </w:r>
    </w:p>
    <w:p>
      <w:pPr>
        <w:pStyle w:val="Heading1"/>
      </w:pPr>
      <w:r>
        <w:t xml:space="preserve">5. 고정환율/고정단가 계약 및 가격조정 조항(Contract Structure)</w:t>
      </w:r>
    </w:p>
    <w:p>
      <w:pPr>
        <w:spacing w:after="160"/>
      </w:pPr>
      <w:r>
        <w:t xml:space="preserve">실무에서는 FX 리스크를 줄이기 위해 (i) 고정환율(또는 고정단가) 계약, (ii) 환율 연동 조항, (iii) 인덱싱(예: USD CPI, 원자재 지수) 등을 사용합니다. 이를 모델에 '결정변수' 또는 '규칙'으로 넣습니다.</w:t>
      </w:r>
    </w:p>
    <w:p>
      <w:pPr>
        <w:pStyle w:val="Heading2"/>
      </w:pPr>
      <w:r>
        <w:t xml:space="preserve">5.1 고정환율(또는 고정단가) 계약</w:t>
      </w:r>
    </w:p>
    <w:p>
      <w:r>
        <w:t xml:space="preserve">예: 지급 금액이 외화이지만, 계약상 환율을 K로 고정.</w:t>
      </w:r>
    </w:p>
    <w:p>
      <w:r>
        <w:rPr>
          <w:b/>
          <w:bCs/>
        </w:rPr>
        <w:t xml:space="preserve">CAPEX 고정환율 적용 시: </w:t>
      </w:r>
      <w:r>
        <w:t xml:space="preserve">CAPEX</w:t>
      </w:r>
      <w:r>
        <w:t xml:space="preserve">_k</w:t>
      </w:r>
      <w:r>
        <w:t xml:space="preserve">(i) · S</w:t>
      </w:r>
      <w:r>
        <w:t xml:space="preserve">_{k→B}</w:t>
      </w:r>
      <w:r>
        <w:t xml:space="preserve">(t</w:t>
      </w:r>
      <w:r>
        <w:t xml:space="preserve">_i</w:t>
      </w:r>
      <w:r>
        <w:t xml:space="preserve">) 대신 CAPEX</w:t>
      </w:r>
      <w:r>
        <w:t xml:space="preserve">_k</w:t>
      </w:r>
      <w:r>
        <w:t xml:space="preserve">(i) · K를 사용.</w:t>
      </w:r>
    </w:p>
    <w:p>
      <w:pPr>
        <w:spacing w:after="160"/>
      </w:pPr>
      <w:r>
        <w:t xml:space="preserve">단, 고정환율은 보통 가격 프리미엄(또는 마진 조정)을 수반하므로, 계약 프리미엄 π를 함께 추정/적용합니다.</w:t>
      </w:r>
    </w:p>
    <w:p>
      <w:pPr>
        <w:spacing w:before="160" w:after="200"/>
        <w:jc w:val="center"/>
      </w:pPr>
      <w:r>
        <w:t xml:space="preserve">C</w:t>
      </w:r>
      <w:r>
        <w:t xml:space="preserve">_fixed,B</w:t>
      </w:r>
      <w:r>
        <w:t xml:space="preserve">(contract) = Σ</w:t>
      </w:r>
      <w:r>
        <w:t xml:space="preserve">_i</w:t>
      </w:r>
      <w:r>
        <w:t xml:space="preserve"> CAPEX</w:t>
      </w:r>
      <w:r>
        <w:t xml:space="preserve">_k</w:t>
      </w:r>
      <w:r>
        <w:t xml:space="preserve">(i) · K + π</w:t>
      </w:r>
    </w:p>
    <w:p>
      <w:pPr>
        <w:pStyle w:val="Heading2"/>
      </w:pPr>
      <w:r>
        <w:t xml:space="preserve">5.2 환율 연동(Price Pass-through) 조항</w:t>
      </w:r>
    </w:p>
    <w:p>
      <w:pPr>
        <w:spacing w:after="160"/>
      </w:pPr>
      <w:r>
        <w:t xml:space="preserve">매출/서비스 수수료가 FX에 부분적으로 연동되는 경우, 가격 전가율 β∈[0,1]로 모델링합니다.</w:t>
      </w:r>
    </w:p>
    <w:p>
      <w:pPr>
        <w:spacing w:before="160" w:after="200"/>
        <w:jc w:val="center"/>
      </w:pPr>
      <w:r>
        <w:t xml:space="preserve">R</w:t>
      </w:r>
      <w:r>
        <w:t xml:space="preserve">_k</w:t>
      </w:r>
      <w:r>
        <w:t xml:space="preserve">(t) = R0</w:t>
      </w:r>
      <w:r>
        <w:t xml:space="preserve">_k</w:t>
      </w:r>
      <w:r>
        <w:t xml:space="preserve">(t) · [ 1 + β · (S</w:t>
      </w:r>
      <w:r>
        <w:t xml:space="preserve">_{k→B}</w:t>
      </w:r>
      <w:r>
        <w:t xml:space="preserve">(t)/S</w:t>
      </w:r>
      <w:r>
        <w:t xml:space="preserve">_{k→B}</w:t>
      </w:r>
      <w:r>
        <w:t xml:space="preserve">(t0) − 1) ]</w:t>
      </w:r>
    </w:p>
    <w:p>
      <w:pPr>
        <w:pStyle w:val="Heading1"/>
      </w:pPr>
      <w:r>
        <w:t xml:space="preserve">6. Forward Pricing Theory를 활용한 헤지(Forward) 내재화</w:t>
      </w:r>
    </w:p>
    <w:p>
      <w:pPr>
        <w:spacing w:after="200"/>
      </w:pPr>
      <w:r>
        <w:t xml:space="preserve">환율 리스크를 관리하기 위해 선도환(Forward) 또는 옵션을 사용합니다. 제안서에는 '헤지로 환율을 고정할 수 있지만 비용이 발생한다'는 점을 수학적으로 명확히 보여주는 것이 설득력 있습니다.</w:t>
      </w:r>
    </w:p>
    <w:p>
      <w:pPr>
        <w:pStyle w:val="Heading2"/>
      </w:pPr>
      <w:r>
        <w:t xml:space="preserve">6.1 무차익 조건 기반 Forward 환율(이자율평가, CIP/IRP)</w:t>
      </w:r>
    </w:p>
    <w:p>
      <w:pPr>
        <w:spacing w:after="160"/>
      </w:pPr>
      <w:r>
        <w:t xml:space="preserve">간단화하면, 기간 T에 대한 선도환율 F</w:t>
      </w:r>
      <w:r>
        <w:t xml:space="preserve">_{k→B}</w:t>
      </w:r>
      <w:r>
        <w:t xml:space="preserve">(t,T)는 현물환율 S</w:t>
      </w:r>
      <w:r>
        <w:t xml:space="preserve">_{k→B}</w:t>
      </w:r>
      <w:r>
        <w:t xml:space="preserve">(t)와 양 통화의 이자율 차로 근사됩니다.</w:t>
      </w:r>
    </w:p>
    <w:p>
      <w:pPr>
        <w:spacing w:before="160" w:after="200"/>
        <w:jc w:val="center"/>
      </w:pPr>
      <w:r>
        <w:t xml:space="preserve">F</w:t>
      </w:r>
      <w:r>
        <w:t xml:space="preserve">_{k→B}</w:t>
      </w:r>
      <w:r>
        <w:t xml:space="preserve">(t,T) ≈ S</w:t>
      </w:r>
      <w:r>
        <w:t xml:space="preserve">_{k→B}</w:t>
      </w:r>
      <w:r>
        <w:t xml:space="preserve">(t) · (1 + r</w:t>
      </w:r>
      <w:r>
        <w:t xml:space="preserve">_B</w:t>
      </w:r>
      <w:r>
        <w:t xml:space="preserve">·T) / (1 + r</w:t>
      </w:r>
      <w:r>
        <w:t xml:space="preserve">_k</w:t>
      </w:r>
      <w:r>
        <w:t xml:space="preserve">·T)</w:t>
      </w:r>
    </w:p>
    <w:p>
      <w:pPr>
        <w:pStyle w:val="Heading2"/>
      </w:pPr>
      <w:r>
        <w:t xml:space="preserve">6.2 헤지 비율 h(t)와 '혼합환율'</w:t>
      </w:r>
    </w:p>
    <w:p>
      <w:pPr>
        <w:spacing w:after="160"/>
      </w:pPr>
      <w:r>
        <w:t xml:space="preserve">지급/수취 현금흐름 X</w:t>
      </w:r>
      <w:r>
        <w:t xml:space="preserve">_k</w:t>
      </w:r>
      <w:r>
        <w:t xml:space="preserve">(t,T)에 대해, 헤지 비율 h(t)만큼은 선도환으로 고정하고 나머지는 현물에 노출시키면:</w:t>
      </w:r>
    </w:p>
    <w:p>
      <w:pPr>
        <w:spacing w:before="160" w:after="160"/>
        <w:jc w:val="center"/>
      </w:pPr>
      <w:r>
        <w:t xml:space="preserve">EffectiveRate(t,T) = h(t)·F</w:t>
      </w:r>
      <w:r>
        <w:t xml:space="preserve">_{k→B}</w:t>
      </w:r>
      <w:r>
        <w:t xml:space="preserve">(t,T) + (1−h(t))·S</w:t>
      </w:r>
      <w:r>
        <w:t xml:space="preserve">_{k→B}</w:t>
      </w:r>
      <w:r>
        <w:t xml:space="preserve">(T)</w:t>
      </w:r>
    </w:p>
    <w:p>
      <w:pPr>
        <w:spacing w:after="200"/>
      </w:pPr>
      <w:r>
        <w:t xml:space="preserve">이를 CostNav의 각 항목(부품/장비/서비스 비용, 혹은 매출)에 적용할 수 있습니다.</w:t>
      </w:r>
    </w:p>
    <w:p>
      <w:pPr>
        <w:pStyle w:val="Heading2"/>
      </w:pPr>
      <w:r>
        <w:t xml:space="preserve">6.3 헤지 비용(스프레드/증거금/프리미엄) 포함</w:t>
      </w:r>
    </w:p>
    <w:p>
      <w:pPr>
        <w:spacing w:after="160"/>
      </w:pPr>
      <w:r>
        <w:t xml:space="preserve">실무에서는 스프레드, 유동성 비용, 신용한도/증거금 비용이 발생합니다. 이를 단순화해 헤지 비용 함수로 포함합니다.</w:t>
      </w:r>
    </w:p>
    <w:p>
      <w:pPr>
        <w:spacing w:before="160" w:after="200"/>
        <w:jc w:val="center"/>
      </w:pPr>
      <w:r>
        <w:t xml:space="preserve">Cost</w:t>
      </w:r>
      <w:r>
        <w:t xml:space="preserve">_hedge</w:t>
      </w:r>
      <w:r>
        <w:t xml:space="preserve"> = φ · |h(t)| · Notional</w:t>
      </w:r>
    </w:p>
    <w:p>
      <w:pPr>
        <w:pStyle w:val="Heading1"/>
      </w:pPr>
      <w:r>
        <w:t xml:space="preserve">7. 세금 효과(Tax Effects) 및 After-Tax Profit</w:t>
      </w:r>
    </w:p>
    <w:p>
      <w:pPr>
        <w:spacing w:after="200"/>
      </w:pPr>
      <w:r>
        <w:t xml:space="preserve">의사결정은 종종 세후(After-tax) 기준으로 이루어집니다. 또한 국가별 법인세율, 원천세(withholding tax), 관세/부가세(VAT), 감가상각(Depreciation) 규칙이 실제 현금흐름과 BEP에 영향을 줍니다.</w:t>
      </w:r>
    </w:p>
    <w:p>
      <w:pPr>
        <w:pStyle w:val="Heading2"/>
      </w:pPr>
      <w:r>
        <w:t xml:space="preserve">7.1 세후 이익</w:t>
      </w:r>
    </w:p>
    <w:p>
      <w:pPr>
        <w:spacing w:before="160" w:after="160"/>
        <w:jc w:val="center"/>
      </w:pPr>
      <w:r>
        <w:t xml:space="preserve">AfterTaxProfit</w:t>
      </w:r>
      <w:r>
        <w:t xml:space="preserve">_B</w:t>
      </w:r>
      <w:r>
        <w:t xml:space="preserve">(t) = Profit</w:t>
      </w:r>
      <w:r>
        <w:t xml:space="preserve">_B</w:t>
      </w:r>
      <w:r>
        <w:t xml:space="preserve">(t) · (1 − τ)    (단, τ는 유효세율)</w:t>
      </w:r>
    </w:p>
    <w:p>
      <w:pPr>
        <w:spacing w:after="200"/>
      </w:pPr>
      <w:r>
        <w:t xml:space="preserve">더 정교하게는 국가별 τ</w:t>
      </w:r>
      <w:r>
        <w:t xml:space="preserve">_k</w:t>
      </w:r>
      <w:r>
        <w:t xml:space="preserve">와 과세베이스(이익) 정의를 분리할 수 있습니다.</w:t>
      </w:r>
    </w:p>
    <w:p>
      <w:pPr>
        <w:pStyle w:val="Heading2"/>
      </w:pPr>
      <w:r>
        <w:t xml:space="preserve">7.2 감가상각(Depreciation)과 세금방패(Tax Shield)</w:t>
      </w:r>
    </w:p>
    <w:p>
      <w:pPr>
        <w:spacing w:after="160"/>
      </w:pPr>
      <w:r>
        <w:t xml:space="preserve">CAPEX는 비용이 아니라 자산으로 인식되며, 감가상각을 통해 과세소득을 줄이는 세금방패 효과가 있습니다.</w:t>
      </w:r>
    </w:p>
    <w:p>
      <w:pPr>
        <w:spacing w:before="160" w:after="160"/>
        <w:jc w:val="center"/>
      </w:pPr>
      <w:r>
        <w:t xml:space="preserve">TaxShield(t) = τ · Depreciation(t)</w:t>
      </w:r>
    </w:p>
    <w:p>
      <w:pPr>
        <w:spacing w:before="160" w:after="200"/>
        <w:jc w:val="center"/>
      </w:pPr>
      <w:r>
        <w:t xml:space="preserve">FCF</w:t>
      </w:r>
      <w:r>
        <w:t xml:space="preserve">_B</w:t>
      </w:r>
      <w:r>
        <w:t xml:space="preserve">(t) = (Revenue</w:t>
      </w:r>
      <w:r>
        <w:t xml:space="preserve">_B</w:t>
      </w:r>
      <w:r>
        <w:t xml:space="preserve">(t) − OPEX</w:t>
      </w:r>
      <w:r>
        <w:t xml:space="preserve">_B</w:t>
      </w:r>
      <w:r>
        <w:t xml:space="preserve">(t) − Tax</w:t>
      </w:r>
      <w:r>
        <w:t xml:space="preserve">_B</w:t>
      </w:r>
      <w:r>
        <w:t xml:space="preserve">(t)) + TaxShield(t) − CAPEX</w:t>
      </w:r>
      <w:r>
        <w:t xml:space="preserve">_B</w:t>
      </w:r>
      <w:r>
        <w:t xml:space="preserve">(t)</w:t>
      </w:r>
    </w:p>
    <w:p>
      <w:pPr>
        <w:pStyle w:val="Heading2"/>
      </w:pPr>
      <w:r>
        <w:t xml:space="preserve">7.3 VAT/관세/원천세의 반영</w:t>
      </w:r>
    </w:p>
    <w:p>
      <w:pPr>
        <w:spacing w:after="200"/>
      </w:pPr>
      <w:r>
        <w:t xml:space="preserve">VAT는 종종 패스스루(매입/매출 상계)이나 현금흐름 타이밍에 영향을 줄 수 있습니다. 관세는 수입 부품/장비의 단가를 직접 증가시켜 Transaction exposure를 증폭시킵니다. 원천세는 해외 서비스 대금 지급 시 실질 비용을 올리는 형태로 모델에 추가됩니다.</w:t>
      </w:r>
    </w:p>
    <w:p>
      <w:pPr>
        <w:pStyle w:val="Heading1"/>
      </w:pPr>
      <w:r>
        <w:t xml:space="preserve">8. 의사결정 기준: 기대이익 + 리스크 지표</w:t>
      </w:r>
    </w:p>
    <w:p>
      <w:pPr>
        <w:spacing w:after="160"/>
      </w:pPr>
      <w:r>
        <w:t xml:space="preserve">FX 변동성을 '진짜로' 다루려면 단일 추정치가 아니라 분포 기반 지표가 필요합니다. 따라서 CostNav 기반 AI는 다음과 같은 지표를 기본 제공하도록 설계할 수 있습니다.</w:t>
      </w:r>
    </w:p>
    <w:p>
      <w:pPr>
        <w:spacing w:after="100"/>
      </w:pPr>
      <w:r>
        <w:t xml:space="preserve">• E[Profit</w:t>
      </w:r>
      <w:r>
        <w:t xml:space="preserve">_B</w:t>
      </w:r>
      <w:r>
        <w:t xml:space="preserve">]: 기대이익</w:t>
      </w:r>
    </w:p>
    <w:p>
      <w:pPr>
        <w:spacing w:after="100"/>
      </w:pPr>
      <w:r>
        <w:t xml:space="preserve">• P(Profit</w:t>
      </w:r>
      <w:r>
        <w:t xml:space="preserve">_B</w:t>
      </w:r>
      <w:r>
        <w:t xml:space="preserve"> &lt; 0): 손실 확률</w:t>
      </w:r>
    </w:p>
    <w:p>
      <w:pPr>
        <w:spacing w:after="100"/>
      </w:pPr>
      <w:r>
        <w:t xml:space="preserve">• VaR / CVaR: 꼬리 위험(Extreme risk)</w:t>
      </w:r>
    </w:p>
    <w:p>
      <w:pPr>
        <w:spacing w:after="200"/>
      </w:pPr>
      <w:r>
        <w:t xml:space="preserve">• BEP 분포: 손익분기점의 불확실성(달성 가능성)</w:t>
      </w:r>
    </w:p>
    <w:p>
      <w:pPr>
        <w:pStyle w:val="Heading1"/>
      </w:pPr>
      <w:r>
        <w:t xml:space="preserve">9. 실무 적용 방식: 모듈형(Enable/Disable) 모델</w:t>
      </w:r>
    </w:p>
    <w:p>
      <w:r>
        <w:t xml:space="preserve">모든 회사가 모든 변수를 동일하게 중요하게 보지 않습니다. 따라서 본 제안은 '필요한 요소만 선택적으로 켜는' 모듈형 구조를 권장합니다.</w:t>
      </w:r>
    </w:p>
    <w:p>
      <w:pPr>
        <w:spacing w:after="200"/>
      </w:pPr>
      <w:r>
        <w:rPr>
          <w:b/>
          <w:bCs/>
        </w:rPr>
        <w:t xml:space="preserve">예: </w:t>
      </w:r>
      <w:r>
        <w:t xml:space="preserve">(기본) Profit/BEP + (옵션) 거래노출 + (옵션) Forward 헤지 + (옵션) 세후 FCF + (옵션) 경제적 노출 시나리오</w:t>
      </w:r>
    </w:p>
    <w:p>
      <w:pPr>
        <w:pStyle w:val="Heading1"/>
      </w:pPr>
      <w:r>
        <w:t xml:space="preserve">10. 적용 우선순위: Data Center 운영 + Procurement/Vendor Assessment</w:t>
      </w:r>
    </w:p>
    <w:p>
      <w:pPr>
        <w:spacing w:after="120"/>
      </w:pPr>
      <w:r>
        <w:t xml:space="preserve">본 솔루션이 가장 즉시 효과를 내는 영역은 다음 두 가지입니다.</w:t>
      </w:r>
    </w:p>
    <w:p>
      <w:pPr>
        <w:spacing w:after="100"/>
      </w:pPr>
      <w:r>
        <w:rPr>
          <w:b/>
          <w:bCs/>
        </w:rPr>
        <w:t xml:space="preserve">1) </w:t>
      </w:r>
      <w:r>
        <w:t xml:space="preserve">데이터센터 건설 및 운영: 장애 처리, 하드웨어/스페어 구매, 인건비, 에너지, SLA 페널티, FX 노출</w:t>
      </w:r>
    </w:p>
    <w:p>
      <w:pPr>
        <w:spacing w:after="100"/>
      </w:pPr>
      <w:r>
        <w:rPr>
          <w:b/>
          <w:bCs/>
        </w:rPr>
        <w:t xml:space="preserve">2) </w:t>
      </w:r>
      <w:r>
        <w:t xml:space="preserve">내부 Procurement/Vendor Assessment: 벤더 제안 비교, 하드웨어 수명주기 관리, 장기 TCO/리스크 정량화</w:t>
      </w:r>
    </w:p>
    <w:p>
      <w:pPr>
        <w:spacing w:after="200"/>
      </w:pPr>
      <w:r>
        <w:t xml:space="preserve">2)는 1)의 하위 집합으로 자연스럽게 포함됩니다.</w:t>
      </w:r>
    </w:p>
    <w:p>
      <w:pPr>
        <w:pStyle w:val="Heading1"/>
      </w:pPr>
      <w:r>
        <w:t xml:space="preserve">11. 모델 복잡성과 실무 적용 가능성</w:t>
      </w:r>
    </w:p>
    <w:p>
      <w:pPr>
        <w:spacing w:after="200"/>
      </w:pPr>
      <w:r>
        <w:t xml:space="preserve">제안된 수학 모델은 DCF, FX Exposure, Forward Pricing, CVaR, Depreciation 등 금융/운영 분야의 표준 이론을 기반으로 합니다. 이론적으로는 MBA, CFA, FRM 수준의 교육을 받은 인력이라면 모델 자체를 구성하는 것이 불가능하지 않습니다. 그러나 실무에서는 모델의 난이도 자체보다 모델을 지속적으로 의사결정에 활용하는 능력이 더 중요한 문제가 됩니다.</w:t>
      </w:r>
    </w:p>
    <w:p>
      <w:pPr>
        <w:pStyle w:val="Heading1"/>
      </w:pPr>
      <w:r>
        <w:t xml:space="preserve">12. 조직의 구조적 한계: 모델 유지와 일관성</w:t>
      </w:r>
    </w:p>
    <w:p>
      <w:pPr>
        <w:pStyle w:val="Heading2"/>
      </w:pPr>
      <w:r>
        <w:t xml:space="preserve">12.1 동적 파라미터의 지속적 관리 문제</w:t>
      </w:r>
    </w:p>
    <w:p>
      <w:pPr>
        <w:spacing w:after="200"/>
      </w:pPr>
      <w:r>
        <w:t xml:space="preserve">이 모델은 고정된 스프레드시트가 아닙니다. 환율, 금리, CAPEX 지급 일정, 계약 조건, 장애 빈도, 세법, DR 옵션 구성 등 다수의 변수가 지속적으로 변합니다. 실무에서는 엑셀 모델을 한 번 만들고 끝나는 경우가 많으며, 담당자가 변경되면 모델이 유실되거나 업데이트되지 않는 경우가 빈번합니다. "이 가정이 아직 유효한가"에 답할 수 있는 사람이 없어지면 정적 모델은 글로벌 실무에서 의미를 잃습니다.</w:t>
      </w:r>
    </w:p>
    <w:p>
      <w:pPr>
        <w:pStyle w:val="Heading2"/>
      </w:pPr>
      <w:r>
        <w:t xml:space="preserve">12.2 인간 판단의 일관성 문제</w:t>
      </w:r>
    </w:p>
    <w:p>
      <w:pPr>
        <w:spacing w:after="200"/>
      </w:pPr>
      <w:r>
        <w:t xml:space="preserve">동일한 데이터라도 장애 직후에는 과도한 DR 투자가 결정되고, 평온한 시기에는 비용 절감 압박이 우선되며, CFO 교체 시 가정이 변경되고, 지역/조직 정치에 따라 결론이 왜곡되는 경우가 있습니다. 의사결정은 항상 감정, 최근 사건, 조직 내 힘의 균형의 영향을 받습니다. 이는 합리성의 문제가 아니라 인간 조직의 구조적 한계입니다.</w:t>
      </w:r>
    </w:p>
    <w:p>
      <w:pPr>
        <w:pStyle w:val="Heading2"/>
      </w:pPr>
      <w:r>
        <w:t xml:space="preserve">12.3 꼬리위험(Tail Risk) 과소평가 경향</w:t>
      </w:r>
    </w:p>
    <w:p>
      <w:pPr>
        <w:spacing w:after="200"/>
      </w:pPr>
      <w:r>
        <w:t xml:space="preserve">행동경제학 연구에 따르면 저확률·대손실 이벤트는 구조적으로 과소평가되는 경향이 있습니다. "설마 또 나겠어"가 기본 반응이지만, DR/FX/세금 리스크는 한 번의 꼬리 사건으로 손익, 신용, 경영진 커리어를 동시에 흔들 수 있습니다. 평균값 중심의 인간 판단은 이 영역에서 실패합니다.</w:t>
      </w:r>
    </w:p>
    <w:p>
      <w:pPr>
        <w:pStyle w:val="Heading1"/>
      </w:pPr>
      <w:r>
        <w:t xml:space="preserve">13. Agentic AI의 차별화 요소</w:t>
      </w:r>
    </w:p>
    <w:p>
      <w:pPr>
        <w:spacing w:after="200"/>
      </w:pPr>
      <w:r>
        <w:t xml:space="preserve">본 제안의 AI는 단순한 계산기나 리포트 생성기가 아니라 의사결정 주체를 부분적으로 위임받는 에이전트입니다.</w:t>
      </w:r>
    </w:p>
    <w:p>
      <w:pPr>
        <w:pStyle w:val="Heading2"/>
      </w:pPr>
      <w:r>
        <w:t xml:space="preserve">13.1 지속성(Continuity)</w:t>
      </w:r>
    </w:p>
    <w:p>
      <w:pPr>
        <w:spacing w:after="200"/>
      </w:pPr>
      <w:r>
        <w:t xml:space="preserve">분기/월 단위 자동 재계산, FX·금리·비용 구조 반영, "가정 변경 필요" 자동 감지를 통해 인간이 가장 하기 어려운 영역을 담당합니다.</w:t>
      </w:r>
    </w:p>
    <w:p>
      <w:pPr>
        <w:pStyle w:val="Heading2"/>
      </w:pPr>
      <w:r>
        <w:t xml:space="preserve">13.2 조합 탐색 능력(Decision Space Search)</w:t>
      </w:r>
    </w:p>
    <w:p>
      <w:pPr>
        <w:spacing w:after="200"/>
      </w:pPr>
      <w:r>
        <w:t xml:space="preserve">인간이 다룰 수 있는 선택지는 보통 Warm vs Hot, Hedge vs No Hedge 정도입니다. Agent는 Warm + 30% Hedge, Warm + 70% Hedge, Hot + Fixed FX, CAPEX 지연 + 부분 헤지, DR 옵션 + 세금 최적화 구조 등 의사결정 조합 공간을 체계적으로 탐색할 수 있습니다. 이러한 조합 공간 탐색은 AI만이 실질적으로 가능합니다.</w:t>
      </w:r>
    </w:p>
    <w:p>
      <w:pPr>
        <w:pStyle w:val="Heading2"/>
      </w:pPr>
      <w:r>
        <w:t xml:space="preserve">13.3 결정 이력과 책임 구조의 자동 생성</w:t>
      </w:r>
    </w:p>
    <w:p>
      <w:pPr>
        <w:spacing w:after="200"/>
      </w:pPr>
      <w:r>
        <w:t xml:space="preserve">Agent는 매번 사용한 데이터, 가정, 수식, 시나리오, 왜 이 선택이 우월했는지를 기록합니다. 이는 단순 기록이 아니라 Audit 대응, Board 설명, 사고 발생 후 의사결정 방어 논리로 활용됩니다. "왜 이 선택을 했는가"를 시스템이 기억합니다.</w:t>
      </w:r>
    </w:p>
    <w:p>
      <w:pPr>
        <w:pStyle w:val="Heading1"/>
      </w:pPr>
      <w:r>
        <w:t xml:space="preserve">14. 시장 특수성과 AI 적합도</w:t>
      </w:r>
    </w:p>
    <w:p>
      <w:pPr>
        <w:pStyle w:val="Heading2"/>
      </w:pPr>
      <w:r>
        <w:t xml:space="preserve">14.1 결정 빈도와 단가</w:t>
      </w:r>
    </w:p>
    <w:p>
      <w:pPr>
        <w:spacing w:after="200"/>
      </w:pPr>
      <w:r>
        <w:t xml:space="preserve">DR/HA는 수십~수백만 달러, DC CAPEX는 수백억 단위, Vendor 계약은 3~5년 장기입니다. 결정 빈도는 낮지만 결정 단가는 매우 크기 때문에 한 번의 잘못된 결정 비용이 압도적으로 큽니다. 이런 시장에서는 AI 도입 ROI가 매우 높고 SaaS/컨설팅 단가도 정당화됩니다.</w:t>
      </w:r>
    </w:p>
    <w:p>
      <w:pPr>
        <w:pStyle w:val="Heading2"/>
      </w:pPr>
      <w:r>
        <w:t xml:space="preserve">14.2 데이터의 존재와 분산</w:t>
      </w:r>
    </w:p>
    <w:p>
      <w:pPr>
        <w:spacing w:after="200"/>
      </w:pPr>
      <w:r>
        <w:t xml:space="preserve">필요한 데이터(Incident logs, 계약서, 지급 일정, 환율/금리, 세율)는 대부분 이미 존재합니다. 문제는 흩어져 있고, 연결되지 않고, 의사결정으로 환원되지 않는다는 점입니다. AI의 역할은 데이터 생성이 아니라 구조화와 연결입니다.</w:t>
      </w:r>
    </w:p>
    <w:p>
      <w:pPr>
        <w:pStyle w:val="Heading2"/>
      </w:pPr>
      <w:r>
        <w:t xml:space="preserve">14.3 조직 정치 문제의 우회</w:t>
      </w:r>
    </w:p>
    <w:p>
      <w:pPr>
        <w:spacing w:after="200"/>
      </w:pPr>
      <w:r>
        <w:t xml:space="preserve">IT vs Finance, HQ vs Local, Ops vs Strategy 간의 갈등에서 Agent는 어느 조직의 편도 아니며 동일한 수학을 적용하고 동일한 기준을 유지합니다. '중립적 판단자'라는 포지션 자체가 제품 가치입니다.</w:t>
      </w:r>
    </w:p>
    <w:p>
      <w:pPr>
        <w:pStyle w:val="Heading1"/>
      </w:pPr>
      <w:r>
        <w:t xml:space="preserve">15. 컨설팅 대비 차별점</w:t>
      </w:r>
    </w:p>
    <w:p>
      <w:pPr>
        <w:spacing w:after="200"/>
      </w:pPr>
      <w:r>
        <w:t xml:space="preserve">컨설팅은 정적 결과물, 고비용, 업데이트 불가, 조직 기억 없음이라는 한계가 있습니다. Agentic AI는 지속적이고, 재사용 가능하며, 조직의 의사결정 히스토리를 축적하고, 다음 결정을 더 잘하는 특성이 있습니다. 컨설팅을 대체하는 게 아니라 컨설팅의 한계를 구조적으로 해결합니다.</w:t>
      </w:r>
    </w:p>
    <w:p>
      <w:pPr>
        <w:pStyle w:val="Heading1"/>
      </w:pPr>
      <w:r>
        <w:t xml:space="preserve">16. 핵심 질문</w:t>
      </w:r>
    </w:p>
    <w:p>
      <w:pPr>
        <w:spacing w:after="160"/>
      </w:pPr>
      <w:r>
        <w:t xml:space="preserve">이 제안의 핵심 질문은 다음과 같습니다: "우리는 이 규모의 의사결정을 앞으로도 사람과 엑셀에 맡길 것인가?" 수학은 누구나 만들 수 있습니다. 하지만 이 수학을 '살아 있는 의사결정'으로 유지하는 것은 AI만 가능합니다.</w:t>
      </w:r>
    </w:p>
    <w:p>
      <w:r>
        <w:t xml:space="preserve">이것은 수학 제품이 아니라 의사결정 실패 확률을 낮추는 조직 장치입니다.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맑은 고딕" w:cs="맑은 고딕" w:eastAsia="맑은 고딕" w:hAnsi="맑은 고딕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2025-12-23T12:28:37.520Z</dcterms:created>
  <dcterms:modified xsi:type="dcterms:W3CDTF">2025-12-23T12:28:37.521Z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