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38596" w14:textId="251111EF" w:rsidR="00446D43" w:rsidRPr="00211B68" w:rsidRDefault="00854B75" w:rsidP="0029612E">
      <w:pPr>
        <w:ind w:left="-625"/>
        <w:jc w:val="center"/>
        <w:rPr>
          <w:rFonts w:ascii="Times New Roman" w:hAnsi="Times New Roman" w:cs="Times New Roman"/>
          <w:b/>
          <w:bCs/>
          <w:color w:val="000000" w:themeColor="text1"/>
          <w:sz w:val="28"/>
          <w:szCs w:val="28"/>
        </w:rPr>
      </w:pPr>
      <w:bookmarkStart w:id="0" w:name="_GoBack"/>
      <w:bookmarkEnd w:id="0"/>
      <w:r w:rsidRPr="00211B68">
        <w:rPr>
          <w:rFonts w:ascii="Times New Roman" w:hAnsi="Times New Roman" w:cs="Times New Roman"/>
          <w:b/>
          <w:bCs/>
          <w:color w:val="000000" w:themeColor="text1"/>
          <w:sz w:val="28"/>
          <w:szCs w:val="28"/>
        </w:rPr>
        <w:t xml:space="preserve">Title of </w:t>
      </w:r>
      <w:r w:rsidR="005E0A83" w:rsidRPr="00211B68">
        <w:rPr>
          <w:rFonts w:ascii="Times New Roman" w:hAnsi="Times New Roman" w:cs="Times New Roman"/>
          <w:b/>
          <w:bCs/>
          <w:color w:val="000000" w:themeColor="text1"/>
          <w:sz w:val="28"/>
          <w:szCs w:val="28"/>
        </w:rPr>
        <w:t xml:space="preserve">the </w:t>
      </w:r>
      <w:r w:rsidRPr="00211B68">
        <w:rPr>
          <w:rFonts w:ascii="Times New Roman" w:hAnsi="Times New Roman" w:cs="Times New Roman"/>
          <w:b/>
          <w:bCs/>
          <w:color w:val="000000" w:themeColor="text1"/>
          <w:sz w:val="28"/>
          <w:szCs w:val="28"/>
        </w:rPr>
        <w:t xml:space="preserve">project: </w:t>
      </w:r>
    </w:p>
    <w:p w14:paraId="31FDB984" w14:textId="3B1CC1E2" w:rsidR="00F2446E" w:rsidRPr="00211B68" w:rsidRDefault="00854B75" w:rsidP="005E0A83">
      <w:pPr>
        <w:ind w:left="-142" w:right="-426"/>
        <w:jc w:val="right"/>
        <w:rPr>
          <w:rFonts w:ascii="Times New Roman" w:hAnsi="Times New Roman" w:cs="Times New Roman"/>
          <w:b/>
          <w:bCs/>
          <w:color w:val="000000" w:themeColor="text1"/>
          <w:sz w:val="28"/>
          <w:szCs w:val="28"/>
        </w:rPr>
      </w:pPr>
      <w:r w:rsidRPr="00211B68">
        <w:rPr>
          <w:rFonts w:ascii="Times New Roman" w:hAnsi="Times New Roman" w:cs="Times New Roman"/>
          <w:b/>
          <w:bCs/>
          <w:color w:val="000000" w:themeColor="text1"/>
          <w:sz w:val="28"/>
          <w:szCs w:val="28"/>
        </w:rPr>
        <w:t>An IoT-Based Healthcare Insurance System Using Deep Learning</w:t>
      </w:r>
      <w:r w:rsidR="005E0A83" w:rsidRPr="00211B68">
        <w:rPr>
          <w:rFonts w:ascii="Times New Roman" w:hAnsi="Times New Roman" w:cs="Times New Roman"/>
          <w:b/>
          <w:bCs/>
          <w:color w:val="000000" w:themeColor="text1"/>
          <w:sz w:val="28"/>
          <w:szCs w:val="28"/>
        </w:rPr>
        <w:t xml:space="preserve"> </w:t>
      </w:r>
      <w:r w:rsidRPr="00211B68">
        <w:rPr>
          <w:rFonts w:ascii="Times New Roman" w:hAnsi="Times New Roman" w:cs="Times New Roman"/>
          <w:b/>
          <w:bCs/>
          <w:color w:val="000000" w:themeColor="text1"/>
          <w:sz w:val="28"/>
          <w:szCs w:val="28"/>
        </w:rPr>
        <w:t>Technique</w:t>
      </w:r>
    </w:p>
    <w:p w14:paraId="77B23FD2" w14:textId="77777777" w:rsidR="0055241D" w:rsidRPr="00211B68" w:rsidRDefault="0055241D" w:rsidP="0029612E">
      <w:pPr>
        <w:ind w:left="-625"/>
        <w:jc w:val="center"/>
        <w:rPr>
          <w:rFonts w:ascii="Times New Roman" w:hAnsi="Times New Roman" w:cs="Times New Roman"/>
          <w:b/>
          <w:bCs/>
          <w:color w:val="000000" w:themeColor="text1"/>
          <w:sz w:val="28"/>
          <w:szCs w:val="28"/>
          <w:lang w:bidi="ar-IQ"/>
        </w:rPr>
      </w:pPr>
    </w:p>
    <w:p w14:paraId="35BA3A07" w14:textId="4450F802" w:rsidR="007A53C7" w:rsidRPr="00211B68" w:rsidRDefault="00991D0C"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Abstract</w:t>
      </w:r>
    </w:p>
    <w:p w14:paraId="5DD8D8B9" w14:textId="713FF006" w:rsidR="00D660F9" w:rsidRPr="00211B68" w:rsidRDefault="00D660F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As healthcare data and insurance services have advanced rapidly, there has been a critical need for intelligent systems that can dynamically anticipate insurance costs to improve decision-making. Traditional insurance analytics is based on either rule-based or statistical approaches, often struggles with complex, high-dimensional tabular data, and is not interpretable. In this paper, we develop an IoT-based healthcare insurance model using deep learning to bridge this gap. The objective is to develop a supervised predictive model for classifying high- and low-cost insurance, thereby improving the performance evaluation of agents. The insurance datasets were used to train a TabNet classifier with demographic and behavioural features, which was designed with an attention-based architecture and adapted to tabular data. With excellent performance in the experimental domain, these methods achieved 95.15% accuracy and 94.34% ROC-AUC (strong predictive reliability). A healthcare insurance management system is applied to its cost prediction, agent segmentation optimisation, and data-driven policy and pricing. </w:t>
      </w:r>
    </w:p>
    <w:p w14:paraId="1C6BD68D" w14:textId="18C522E8" w:rsidR="007A53C7" w:rsidRPr="00211B68" w:rsidRDefault="007A53C7" w:rsidP="00D660F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1. </w:t>
      </w:r>
      <w:r w:rsidR="00991D0C" w:rsidRPr="00211B68">
        <w:rPr>
          <w:rStyle w:val="Strong"/>
          <w:rFonts w:ascii="Times New Roman" w:eastAsiaTheme="majorEastAsia" w:hAnsi="Times New Roman" w:cs="Times New Roman"/>
          <w:color w:val="000000" w:themeColor="text1"/>
          <w:kern w:val="0"/>
          <w:sz w:val="24"/>
          <w:szCs w:val="24"/>
          <w14:ligatures w14:val="none"/>
        </w:rPr>
        <w:t xml:space="preserve">Introduction. </w:t>
      </w:r>
    </w:p>
    <w:p w14:paraId="329B1045" w14:textId="79CF8A12"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Introduction. Healthcare insurance is an intrinsic aspect of modern healthcare; it ensures the financial sustainability of healthcare providers and the availability of healthcare services for all segments of society. It promotes health and the healthcare delivery system itself through affordable, accessible healthcare services [1-2]. They oversee large systems of data about insurance holders, medical expenses, demographics, and behaviour [3-4]. Accurately considering these data to assess risk, calculate premiums, detect fraud, and allocate resources is critical. The complexities of healthcare services and medical costs have made cost projections and fair, sustainable policy-making among insurance companies increasingly difficult.</w:t>
      </w:r>
    </w:p>
    <w:p w14:paraId="444A0195" w14:textId="73BF6927"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The Internet of Things (IoT) has rapidly emerged as an influential technology in healthcare data collection over the past few years, with IoT-enabled devices such as wearables, smart devices, and medical devices, as well as remote supervision, utilised to generate real-time, continuous health information [5]. Such information is available to insurance companies in comprehensive, up-to-date databases that enable them to learn more about patients: their status, health, habits, and risk factors. IoT data linked to insurance databases can support smart decision-making and shift healthcare companies from a step-by-step process to an anticipatory approach. </w:t>
      </w:r>
    </w:p>
    <w:p w14:paraId="69F29A2C" w14:textId="0D210524"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Accurate forecasting of insurance costs is an indispensable part of managing health care products. By using intelligent cost prediction, insurance companies can identify high- and low-cost scenarios. Then, premium pricing may be adjusted, or agents' performance may be measured. Furthermore, customer satisfaction may improve significantly and quickly as a result of this technique [6]. When prediction accuracy is low, it can lead to significant financial losses, uneven prices, and oversupply of resources. This demand mandates advanced analytical models of demographic, behavioural, and health factors to capture complex associations among them. Standard statistical techniques, such as rule-based scoring, have been widely used in insurance analytics, with no new methods developed. </w:t>
      </w:r>
    </w:p>
    <w:p w14:paraId="1F52C5BD" w14:textId="528C7112"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lastRenderedPageBreak/>
        <w:t xml:space="preserve">Their strong assumptions about data distributions and linearity significantly affect their </w:t>
      </w:r>
      <w:r w:rsidR="00211B68">
        <w:rPr>
          <w:rStyle w:val="Strong"/>
          <w:rFonts w:ascii="Times New Roman" w:eastAsiaTheme="majorEastAsia" w:hAnsi="Times New Roman" w:cs="Times New Roman"/>
          <w:b w:val="0"/>
          <w:bCs w:val="0"/>
          <w:color w:val="000000" w:themeColor="text1"/>
          <w:kern w:val="0"/>
          <w:sz w:val="24"/>
          <w:szCs w:val="24"/>
          <w14:ligatures w14:val="none"/>
        </w:rPr>
        <w:t>ability to learn</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from data in nonlinear, high-dimensional scenarios [7]. Specifically, they are hard to compute on heterogeneous data and extremely large datasets, exhibit suboptimal predictive performance, and take a long time to adapt to different insurance conditions. Deep learning models have been a popular way of exploring complex topics with complex data. </w:t>
      </w:r>
    </w:p>
    <w:p w14:paraId="06D0A8FA" w14:textId="3DB15BBC"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Deep learning, in contrast with traditional methods, can implicitly learn hierarchical feature representations and measure non-linear correlations [8]. While structure-based models such as TabNet can be particularly appealing for applications that emphasize transparency, for insurance applications that require extra interpretability (through attention mechanisms), and for applications that can leverage tabular models. Indeed, the main objective is to create an IoT-based healthcare insurance system using a deep learning TabNet classifier to intelligently predict insurance costs</w:t>
      </w:r>
      <w:r w:rsidR="00211B68">
        <w:rPr>
          <w:rStyle w:val="Strong"/>
          <w:rFonts w:ascii="Times New Roman" w:eastAsiaTheme="majorEastAsia" w:hAnsi="Times New Roman" w:cs="Times New Roman"/>
          <w:b w:val="0"/>
          <w:bCs w:val="0"/>
          <w:color w:val="000000" w:themeColor="text1"/>
          <w:kern w:val="0"/>
          <w:sz w:val="24"/>
          <w:szCs w:val="24"/>
          <w14:ligatures w14:val="none"/>
        </w:rPr>
        <w:t xml:space="preserve"> and generate</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a T-classifier for an insurance application.</w:t>
      </w:r>
    </w:p>
    <w:p w14:paraId="7E0E8E9D" w14:textId="1968DA6B" w:rsidR="00D660F9" w:rsidRPr="00211B68" w:rsidRDefault="00D660F9" w:rsidP="005E0A83">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The resulting approach is </w:t>
      </w:r>
      <w:r w:rsidR="00211B68">
        <w:rPr>
          <w:rStyle w:val="Strong"/>
          <w:rFonts w:ascii="Times New Roman" w:eastAsiaTheme="majorEastAsia" w:hAnsi="Times New Roman" w:cs="Times New Roman"/>
          <w:b w:val="0"/>
          <w:bCs w:val="0"/>
          <w:color w:val="000000" w:themeColor="text1"/>
          <w:kern w:val="0"/>
          <w:sz w:val="24"/>
          <w:szCs w:val="24"/>
          <w14:ligatures w14:val="none"/>
        </w:rPr>
        <w:t>highly predictive and closely aligned with the interpretable model; thus, this framework is a potentially</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feasible way to improve healthcare insurance analytics and decision-support system performance, offering a pragmatic and effective solution. </w:t>
      </w:r>
      <w:r w:rsidR="00211B68">
        <w:rPr>
          <w:rStyle w:val="Strong"/>
          <w:rFonts w:ascii="Times New Roman" w:eastAsiaTheme="majorEastAsia" w:hAnsi="Times New Roman" w:cs="Times New Roman"/>
          <w:b w:val="0"/>
          <w:bCs w:val="0"/>
          <w:color w:val="000000" w:themeColor="text1"/>
          <w:kern w:val="0"/>
          <w:sz w:val="24"/>
          <w:szCs w:val="24"/>
          <w14:ligatures w14:val="none"/>
        </w:rPr>
        <w:t>However,</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healthcare insurance companies increasingly struggle to predict insurance costs or evaluate agent performance due to both the availability of data and the complexity of how this data is now collected. </w:t>
      </w:r>
    </w:p>
    <w:p w14:paraId="3A0FCF8B" w14:textId="571C91B4" w:rsidR="007A53C7" w:rsidRPr="00211B68" w:rsidRDefault="007A53C7" w:rsidP="00D660F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rtl/>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A. Problem Statement</w:t>
      </w:r>
    </w:p>
    <w:p w14:paraId="165BA243" w14:textId="7AD8AD84"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The insurance cost of outcomes is determined by a complex interplay among interacting mechanisms, including demographic characteristics, lifestyle behaviours, health-related factors, and other nonlinear and varying influences. Traditional predictive approaches do not account for the complex interrelationships among these factors, leading to erroneous risk assessments or decision-making errors. Agent performance analysis and segmentation also rely on accurate predictive information to enhance equity and fairness evaluation and strategic planning. However, current approaches seem to rely on limited indicators and rules of thumb or on static indicators and regulations. The heterogeneity of demographic and behavioural insurance data complicates modelling. Because some attributes in insurance data are numerical and others are categorical, each has its own counts and distributions. This necessitates an accurate, interpretable, and transparent prediction model. </w:t>
      </w:r>
      <w:r w:rsidR="00211B68">
        <w:rPr>
          <w:rStyle w:val="Strong"/>
          <w:rFonts w:ascii="Times New Roman" w:eastAsiaTheme="majorEastAsia" w:hAnsi="Times New Roman" w:cs="Times New Roman"/>
          <w:b w:val="0"/>
          <w:bCs w:val="0"/>
          <w:color w:val="000000" w:themeColor="text1"/>
          <w:kern w:val="0"/>
          <w:sz w:val="24"/>
          <w:szCs w:val="24"/>
          <w14:ligatures w14:val="none"/>
        </w:rPr>
        <w:t>Moreover,</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we need a model like that to make sound, data-driven recommendations in health insurance. </w:t>
      </w:r>
    </w:p>
    <w:p w14:paraId="715D4D19" w14:textId="3A602AED"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B. Objectives  </w:t>
      </w:r>
    </w:p>
    <w:p w14:paraId="35A943F0" w14:textId="1877E71A"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The objective of this study is to develop an IoT-based intelligent health insurance system that enhances insurers’ predictive and decision-support capabilities. In particular, the work presents a supervised learning model to optimise predictions for high- and low-cost insurance cases based on demographic and behavioural features. The other main objective is to enhance insurance agent segmentation; predictive models can be fitted to detect patterns and risk attributes (e.g., agent performance) driven by these parameters. Furthermore, the performance of the TabNet classifier, a deep learning platform for tabular insurance data classification that leverages statistical techniques, is also tested, and interactions between multidimensional feature pairs are identified. Further, the objective of this analysis is to establish commonly used assessment measures to evaluate the model's robustness, reliability, and practical applicability. These goals can help develop better pricing strategies, improve resource use, and open the decision-making process of the IoT health insurance system.</w:t>
      </w:r>
    </w:p>
    <w:p w14:paraId="23639A17" w14:textId="39A01EF6"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.2. Method  </w:t>
      </w:r>
    </w:p>
    <w:p w14:paraId="3F1B2E4F" w14:textId="77777777" w:rsidR="00991D0C" w:rsidRPr="00211B68" w:rsidRDefault="00991D0C"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2.1 System Architecture  </w:t>
      </w:r>
    </w:p>
    <w:p w14:paraId="358189EB" w14:textId="77777777"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In this paper, we present an IoT-based health insurance system with a layered architecture that transforms raw healthcare data into an active insurance system. As a whole, the workflow consists of 4 interacting layers: IoT Data Gathering, data preprocessing, deep learning Prediction, and the decision-support layer for insurance providers. </w:t>
      </w:r>
    </w:p>
    <w:p w14:paraId="0E219B50" w14:textId="6E3D01F8"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b w:val="0"/>
          <w:bCs w:val="0"/>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2.1.1 IoT Data Collection Layer</w:t>
      </w: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 </w:t>
      </w:r>
    </w:p>
    <w:p w14:paraId="5288B43C" w14:textId="77777777"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This layer is called the data collection stage. It encompasses all necessary health information, which is continuously collected using Internet of Things (IoT)-based tools (such as wearables, mobile health applications, smart clinics, and remote monitoring systems). Such info could include physical markers of patients’ health behaviours and lifestyles, which can be matched to insurance profiles to analyse them more easily and individually. </w:t>
      </w:r>
    </w:p>
    <w:p w14:paraId="2DA5D94B" w14:textId="52C45F4B"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2.1.2 Data Preprocessing Layer</w:t>
      </w:r>
    </w:p>
    <w:p w14:paraId="08FDB702" w14:textId="445F9419"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We then put the collected data into a cleaning and model-friendly processing environment. In part, this involves handling missing and irregular values (such as sex, smoking status, or region), scaling numerical values (age, BMI, number of children), and partitioning the data into training and test sets. The aim is to generate a disciplined, well-structured dataset in training conditions. </w:t>
      </w:r>
    </w:p>
    <w:p w14:paraId="32CF9A62" w14:textId="0E666357"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2.1.3 Deep Learning Prediction Layer </w:t>
      </w:r>
    </w:p>
    <w:p w14:paraId="51A33F39" w14:textId="3FC1C845"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During this stage, the processed dataset is sent to TabNet, a deep learning model trained on tabular data. TabNet learns complex relationships among nonlinear variables and employs attention mechanisms to effectively select important features. It also features a predictive classification system for each case, identifying it as low/high cost, which helps project costs and estimate risk. </w:t>
      </w:r>
    </w:p>
    <w:p w14:paraId="1B1AC4BC" w14:textId="7F9D53C2"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2.1.4 Decision-Support Layer for Insurance Companies</w:t>
      </w:r>
    </w:p>
    <w:p w14:paraId="4C6C33EA" w14:textId="77777777" w:rsidR="00372239" w:rsidRPr="00211B68" w:rsidRDefault="00372239"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The final level interprets the model’s prediction results practically for insurance companies. As such, prediction and feature importance results can be critical insights for insurance, as it uses them for premium-pricing decisions, risk stratification, agent performance evaluation, and customer segmentation. This layer provides insurers with a more accurate, equitable, and data-driven operational and policy improvement toolbox for operations and policy-making now and in the future.</w:t>
      </w:r>
    </w:p>
    <w:p w14:paraId="50038E0B" w14:textId="23FD6DDB" w:rsidR="00991D0C" w:rsidRPr="00211B68" w:rsidRDefault="00991D0C" w:rsidP="00372239">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2.2 </w:t>
      </w:r>
      <w:r w:rsidR="008655B0" w:rsidRPr="00211B68">
        <w:rPr>
          <w:rStyle w:val="Strong"/>
          <w:rFonts w:ascii="Times New Roman" w:eastAsiaTheme="majorEastAsia" w:hAnsi="Times New Roman" w:cs="Times New Roman"/>
          <w:color w:val="000000" w:themeColor="text1"/>
          <w:kern w:val="0"/>
          <w:sz w:val="24"/>
          <w:szCs w:val="24"/>
          <w14:ligatures w14:val="none"/>
        </w:rPr>
        <w:t xml:space="preserve"> </w:t>
      </w:r>
      <w:r w:rsidRPr="00211B68">
        <w:rPr>
          <w:rStyle w:val="Strong"/>
          <w:rFonts w:ascii="Times New Roman" w:eastAsiaTheme="majorEastAsia" w:hAnsi="Times New Roman" w:cs="Times New Roman"/>
          <w:color w:val="000000" w:themeColor="text1"/>
          <w:kern w:val="0"/>
          <w:sz w:val="24"/>
          <w:szCs w:val="24"/>
          <w14:ligatures w14:val="none"/>
        </w:rPr>
        <w:t xml:space="preserve">Dataset Description  </w:t>
      </w:r>
    </w:p>
    <w:p w14:paraId="37475397" w14:textId="77777777" w:rsidR="00ED3581" w:rsidRPr="00211B68" w:rsidRDefault="00ED3581"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This study works from a structured tabular dataset—the Insurance Dataset, an extensively used dataset for healthcare insurance analytics and cost prediction. There are 1,338 records in this dataset, each corresponding to a participant in an insurance policy. Data on insurance spending include seven attributes (demographic, behavioural, and cost-related) that reveal the traits that drive this expenditure. We classify the dataset features into demographic features related to underlying population factors (age, sex, and region), which represent core personal and geographic characteristics of insured individuals. Such factors can have a substantial impact on healthcare consumption and insurance risk. The behavioural variables included are smoking status, BMI, and number of children, which represent lifestyle- and family-related factors that can greatly affect healthcare costs. Data is formal and informal (numerical and categorical), and model preprocessing is required before training. In this study, the target variable is a binary classification problem. Insurance charges are either for low-cost or high-cost insurance cases, where the median value of the insurance charge is used as a baseline value. Using this binary distribution, we can carefully develop the methods and estimate the risk and costs of the healthcare insurance system that we propose.  </w:t>
      </w:r>
    </w:p>
    <w:p w14:paraId="79F44F88" w14:textId="3C62D9B9" w:rsidR="00991D0C" w:rsidRPr="00211B68" w:rsidRDefault="00991D0C" w:rsidP="00ED3581">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 The system setup  </w:t>
      </w:r>
    </w:p>
    <w:p w14:paraId="2C9C1D4D" w14:textId="77777777" w:rsidR="00991D0C" w:rsidRPr="00211B68" w:rsidRDefault="00991D0C"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2.3.1 Data Preprocessing  </w:t>
      </w:r>
    </w:p>
    <w:p w14:paraId="19589FEB" w14:textId="77777777" w:rsidR="00ED3581" w:rsidRPr="00211B68" w:rsidRDefault="00ED3581"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Data preprocessing is an essential step that should be performed to guarantee the accuracy and strength of the prediction model. For our categorical features like sex, smoking status, and region, we use label encoding to work with this data very well in the long term. We normalised numerical characteristics, e.g., age, BMI, and number of children, using StandardScaler to enable scale normalisation and avoid skewing from the highest value. After the analysis, the data were split into training and test sets using a stratified train-test split to maintain a balanced distribution of high- and low-cost insurance cases. This method not only promotes fair model evaluation but also enhances generalisation efficiency.  </w:t>
      </w:r>
    </w:p>
    <w:p w14:paraId="7BE6C28B" w14:textId="7CE9330E" w:rsidR="00991D0C" w:rsidRPr="00211B68" w:rsidRDefault="00991D0C" w:rsidP="00ED3581">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2.3.2 Model Description  </w:t>
      </w:r>
    </w:p>
    <w:p w14:paraId="0FFB4649" w14:textId="40715899" w:rsidR="00ED3581" w:rsidRPr="00211B68" w:rsidRDefault="00ED3581" w:rsidP="00991D0C">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TabNet Classifier is a tabular deep learning architecture. It is constructed as a sequence of decision acts and relies on attention-based feature selection, which adaptively identifies which features to include at each predictive step. In this regard, TabNet's selective attention enables it to infer complex nonlinear relationships while retaining interpretability through feature importance scores. Compared to general ML models, TabNet yields better-structured data, less feature engineering, and greater interpretability, making it better suited to the healthcare insurance problem.  </w:t>
      </w:r>
    </w:p>
    <w:p w14:paraId="5DBF8CE1" w14:textId="2556DA23" w:rsidR="00991D0C" w:rsidRPr="00211B68" w:rsidRDefault="00991D0C" w:rsidP="00ED3581">
      <w:pPr>
        <w:bidi w:val="0"/>
        <w:spacing w:before="100" w:beforeAutospacing="1" w:after="100" w:afterAutospacing="1" w:line="240" w:lineRule="auto"/>
        <w:ind w:left="-625"/>
        <w:jc w:val="both"/>
        <w:rPr>
          <w:rStyle w:val="Strong"/>
          <w:rFonts w:ascii="Times New Roman" w:eastAsiaTheme="majorEastAsia" w:hAnsi="Times New Roman" w:cs="Times New Roman"/>
          <w:color w:val="000000" w:themeColor="text1"/>
          <w:kern w:val="0"/>
          <w:sz w:val="24"/>
          <w:szCs w:val="24"/>
          <w14:ligatures w14:val="none"/>
        </w:rPr>
      </w:pPr>
      <w:r w:rsidRPr="00211B68">
        <w:rPr>
          <w:rStyle w:val="Strong"/>
          <w:rFonts w:ascii="Times New Roman" w:eastAsiaTheme="majorEastAsia" w:hAnsi="Times New Roman" w:cs="Times New Roman"/>
          <w:color w:val="000000" w:themeColor="text1"/>
          <w:kern w:val="0"/>
          <w:sz w:val="24"/>
          <w:szCs w:val="24"/>
          <w14:ligatures w14:val="none"/>
        </w:rPr>
        <w:t xml:space="preserve">2.3.3 Model Training  </w:t>
      </w:r>
    </w:p>
    <w:p w14:paraId="6B993A85" w14:textId="37418608" w:rsidR="00ED3581" w:rsidRPr="00211B68" w:rsidRDefault="00ED3581" w:rsidP="00991D0C">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r w:rsidRPr="00211B68">
        <w:rPr>
          <w:rStyle w:val="Strong"/>
          <w:rFonts w:ascii="Times New Roman" w:eastAsiaTheme="majorEastAsia" w:hAnsi="Times New Roman" w:cs="Times New Roman"/>
          <w:b w:val="0"/>
          <w:bCs w:val="0"/>
          <w:color w:val="000000" w:themeColor="text1"/>
          <w:kern w:val="0"/>
          <w:sz w:val="24"/>
          <w:szCs w:val="24"/>
          <w14:ligatures w14:val="none"/>
        </w:rPr>
        <w:t xml:space="preserve">Model training required tuning hyperparameters to achieve the best-performing models. The following parameters were critical: the number of steps taken to make the decision; attention and decision size; the learning rate; and sparsity regularisation. Class-based weights were applied to the training set to balance the large and small insurance classes and mitigate class imbalance for balanced learning. The Adam optimiser was employed for training, and learning rate scheduling was applied to progressively reduce the learning rate to improve convergence and avoid overfitting.  </w:t>
      </w:r>
    </w:p>
    <w:p w14:paraId="791F7919" w14:textId="36796EB7" w:rsidR="0029612E" w:rsidRPr="00211B68" w:rsidRDefault="0029612E" w:rsidP="00ED3581">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3. Results</w:t>
      </w:r>
    </w:p>
    <w:p w14:paraId="404342B8" w14:textId="2F53261F" w:rsidR="0037336F" w:rsidRPr="00211B68" w:rsidRDefault="0037336F" w:rsidP="0037336F">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3.1  Model Parameter Configuration</w:t>
      </w:r>
    </w:p>
    <w:p w14:paraId="44051A1D" w14:textId="0E96A586" w:rsidR="00ED3581" w:rsidRPr="00211B68" w:rsidRDefault="00ED3581" w:rsidP="00ED3581">
      <w:pPr>
        <w:bidi w:val="0"/>
        <w:spacing w:before="100" w:beforeAutospacing="1" w:after="100" w:afterAutospacing="1" w:line="240" w:lineRule="auto"/>
        <w:ind w:left="-625"/>
        <w:jc w:val="both"/>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The ability to train and interpret deep learning models in the insurance setting is inextricably tied to the architecture of a deep network. In this study, we have tuned the TabNet classifier to achieve an optimised trade-off among predictive accuracy, feature sparsity, and computational cost, enabling its application to a highly structured, mixed-type domain such as healthcare insurance. The parameters are detailed in the table below, where we optimised the settings by empirical testing and domain-related tuning. This configuration enables models to learn and adaptively focus on critical demographic and behavioural characteristics (e.g., smoking status, age, and BMI) and to generalise efficiently across health-related</w:t>
      </w:r>
      <w:r w:rsidR="00EB5844" w:rsidRPr="00211B68">
        <w:rPr>
          <w:rFonts w:ascii="Times New Roman" w:eastAsia="Times New Roman" w:hAnsi="Times New Roman" w:cs="Times New Roman"/>
          <w:color w:val="000000" w:themeColor="text1"/>
          <w:kern w:val="0"/>
          <w:sz w:val="24"/>
          <w:szCs w:val="24"/>
          <w14:ligatures w14:val="none"/>
        </w:rPr>
        <w:t xml:space="preserve"> insurance cases, both high- and low-cost</w:t>
      </w:r>
      <w:r w:rsidRPr="00211B68">
        <w:rPr>
          <w:rFonts w:ascii="Times New Roman" w:eastAsia="Times New Roman" w:hAnsi="Times New Roman" w:cs="Times New Roman"/>
          <w:color w:val="000000" w:themeColor="text1"/>
          <w:kern w:val="0"/>
          <w:sz w:val="24"/>
          <w:szCs w:val="24"/>
          <w14:ligatures w14:val="none"/>
        </w:rPr>
        <w:t>. Using these selected values enables the system to achieve dual levels of classification accuracy (95.15% accuracy, 94.34% AUC) and provides transparent, interpretable insights for insurance decision-making.</w:t>
      </w:r>
    </w:p>
    <w:p w14:paraId="6D14E0AF" w14:textId="594B97A2" w:rsidR="0037336F" w:rsidRPr="00211B68" w:rsidRDefault="0037336F" w:rsidP="00ED3581">
      <w:pPr>
        <w:bidi w:val="0"/>
        <w:spacing w:before="100" w:beforeAutospacing="1" w:after="100" w:afterAutospacing="1" w:line="240" w:lineRule="auto"/>
        <w:ind w:left="-625"/>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Table</w:t>
      </w:r>
      <w:r w:rsidR="0097532C" w:rsidRPr="00211B68">
        <w:rPr>
          <w:rFonts w:ascii="Times New Roman" w:eastAsia="Times New Roman" w:hAnsi="Times New Roman" w:cs="Times New Roman"/>
          <w:b/>
          <w:bCs/>
          <w:color w:val="000000" w:themeColor="text1"/>
          <w:kern w:val="0"/>
          <w:sz w:val="24"/>
          <w:szCs w:val="24"/>
          <w14:ligatures w14:val="none"/>
        </w:rPr>
        <w:t xml:space="preserve"> 1.</w:t>
      </w:r>
      <w:r w:rsidRPr="00211B68">
        <w:rPr>
          <w:rFonts w:ascii="Times New Roman" w:eastAsia="Times New Roman" w:hAnsi="Times New Roman" w:cs="Times New Roman"/>
          <w:b/>
          <w:bCs/>
          <w:color w:val="000000" w:themeColor="text1"/>
          <w:kern w:val="0"/>
          <w:sz w:val="24"/>
          <w:szCs w:val="24"/>
          <w14:ligatures w14:val="none"/>
        </w:rPr>
        <w:t xml:space="preserve"> </w:t>
      </w:r>
      <w:r w:rsidRPr="00211B68">
        <w:rPr>
          <w:rFonts w:ascii="Times New Roman" w:eastAsia="Times New Roman" w:hAnsi="Times New Roman" w:cs="Times New Roman"/>
          <w:color w:val="000000" w:themeColor="text1"/>
          <w:kern w:val="0"/>
          <w:sz w:val="24"/>
          <w:szCs w:val="24"/>
          <w14:ligatures w14:val="none"/>
        </w:rPr>
        <w:t>TabNet Model Hyperparameters and Configuration</w:t>
      </w:r>
    </w:p>
    <w:tbl>
      <w:tblPr>
        <w:tblW w:w="9215" w:type="dxa"/>
        <w:jc w:val="center"/>
        <w:tblLook w:val="04A0" w:firstRow="1" w:lastRow="0" w:firstColumn="1" w:lastColumn="0" w:noHBand="0" w:noVBand="1"/>
      </w:tblPr>
      <w:tblGrid>
        <w:gridCol w:w="2531"/>
        <w:gridCol w:w="3991"/>
        <w:gridCol w:w="2693"/>
      </w:tblGrid>
      <w:tr w:rsidR="00211B68" w:rsidRPr="00211B68" w14:paraId="5FFFAF7B" w14:textId="77777777" w:rsidTr="0037336F">
        <w:trPr>
          <w:trHeight w:val="300"/>
          <w:jc w:val="center"/>
        </w:trPr>
        <w:tc>
          <w:tcPr>
            <w:tcW w:w="2531" w:type="dxa"/>
            <w:tcBorders>
              <w:top w:val="single" w:sz="4" w:space="0" w:color="auto"/>
              <w:bottom w:val="single" w:sz="4" w:space="0" w:color="auto"/>
            </w:tcBorders>
          </w:tcPr>
          <w:p w14:paraId="083E7291" w14:textId="59781DB0" w:rsidR="0037336F" w:rsidRPr="00211B68" w:rsidRDefault="0037336F" w:rsidP="0037336F">
            <w:pPr>
              <w:bidi w:val="0"/>
              <w:spacing w:after="0" w:line="240" w:lineRule="auto"/>
              <w:jc w:val="center"/>
              <w:rPr>
                <w:rFonts w:asciiTheme="majorBidi" w:eastAsia="Times New Roman" w:hAnsiTheme="majorBidi" w:cstheme="majorBidi"/>
                <w:b/>
                <w:bCs/>
                <w:color w:val="000000" w:themeColor="text1"/>
                <w:kern w:val="0"/>
                <w14:ligatures w14:val="none"/>
              </w:rPr>
            </w:pPr>
            <w:r w:rsidRPr="00211B68">
              <w:rPr>
                <w:rFonts w:asciiTheme="majorBidi" w:eastAsia="Times New Roman" w:hAnsiTheme="majorBidi" w:cstheme="majorBidi"/>
                <w:b/>
                <w:bCs/>
                <w:color w:val="000000" w:themeColor="text1"/>
                <w:kern w:val="0"/>
                <w14:ligatures w14:val="none"/>
              </w:rPr>
              <w:t>Parameter Category</w:t>
            </w:r>
          </w:p>
        </w:tc>
        <w:tc>
          <w:tcPr>
            <w:tcW w:w="3991" w:type="dxa"/>
            <w:tcBorders>
              <w:top w:val="single" w:sz="4" w:space="0" w:color="auto"/>
              <w:bottom w:val="single" w:sz="4" w:space="0" w:color="auto"/>
            </w:tcBorders>
          </w:tcPr>
          <w:p w14:paraId="03BB3D3C" w14:textId="5E63B240" w:rsidR="0037336F" w:rsidRPr="00211B68" w:rsidRDefault="0037336F" w:rsidP="0037336F">
            <w:pPr>
              <w:bidi w:val="0"/>
              <w:spacing w:after="0" w:line="240" w:lineRule="auto"/>
              <w:jc w:val="center"/>
              <w:rPr>
                <w:rFonts w:asciiTheme="majorBidi" w:eastAsia="Times New Roman" w:hAnsiTheme="majorBidi" w:cstheme="majorBidi"/>
                <w:b/>
                <w:bCs/>
                <w:color w:val="000000" w:themeColor="text1"/>
                <w:kern w:val="0"/>
                <w14:ligatures w14:val="none"/>
              </w:rPr>
            </w:pPr>
            <w:r w:rsidRPr="00211B68">
              <w:rPr>
                <w:rFonts w:asciiTheme="majorBidi" w:eastAsia="Times New Roman" w:hAnsiTheme="majorBidi" w:cstheme="majorBidi"/>
                <w:b/>
                <w:bCs/>
                <w:color w:val="000000" w:themeColor="text1"/>
                <w:kern w:val="0"/>
                <w14:ligatures w14:val="none"/>
              </w:rPr>
              <w:t>Parameter</w:t>
            </w:r>
          </w:p>
        </w:tc>
        <w:tc>
          <w:tcPr>
            <w:tcW w:w="2693" w:type="dxa"/>
            <w:tcBorders>
              <w:top w:val="single" w:sz="4" w:space="0" w:color="auto"/>
              <w:bottom w:val="single" w:sz="4" w:space="0" w:color="auto"/>
            </w:tcBorders>
          </w:tcPr>
          <w:p w14:paraId="56CB3A11" w14:textId="4F966605" w:rsidR="0037336F" w:rsidRPr="00211B68" w:rsidRDefault="0037336F" w:rsidP="0037336F">
            <w:pPr>
              <w:bidi w:val="0"/>
              <w:spacing w:after="0" w:line="240" w:lineRule="auto"/>
              <w:jc w:val="center"/>
              <w:rPr>
                <w:rFonts w:asciiTheme="majorBidi" w:eastAsia="Times New Roman" w:hAnsiTheme="majorBidi" w:cstheme="majorBidi"/>
                <w:b/>
                <w:bCs/>
                <w:color w:val="000000" w:themeColor="text1"/>
                <w:kern w:val="0"/>
                <w14:ligatures w14:val="none"/>
              </w:rPr>
            </w:pPr>
            <w:r w:rsidRPr="00211B68">
              <w:rPr>
                <w:rFonts w:asciiTheme="majorBidi" w:eastAsia="Times New Roman" w:hAnsiTheme="majorBidi" w:cstheme="majorBidi"/>
                <w:b/>
                <w:bCs/>
                <w:color w:val="000000" w:themeColor="text1"/>
                <w:kern w:val="0"/>
                <w14:ligatures w14:val="none"/>
              </w:rPr>
              <w:t>Value</w:t>
            </w:r>
          </w:p>
        </w:tc>
      </w:tr>
      <w:tr w:rsidR="00211B68" w:rsidRPr="00211B68" w14:paraId="38253940" w14:textId="77777777" w:rsidTr="0037336F">
        <w:trPr>
          <w:trHeight w:val="300"/>
          <w:jc w:val="center"/>
        </w:trPr>
        <w:tc>
          <w:tcPr>
            <w:tcW w:w="2531" w:type="dxa"/>
            <w:tcBorders>
              <w:top w:val="single" w:sz="4" w:space="0" w:color="auto"/>
            </w:tcBorders>
          </w:tcPr>
          <w:p w14:paraId="36E5E1A3" w14:textId="17ABC19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Architecture</w:t>
            </w:r>
          </w:p>
        </w:tc>
        <w:tc>
          <w:tcPr>
            <w:tcW w:w="3991" w:type="dxa"/>
            <w:tcBorders>
              <w:top w:val="single" w:sz="4" w:space="0" w:color="auto"/>
            </w:tcBorders>
          </w:tcPr>
          <w:p w14:paraId="556A76B3" w14:textId="6B30A71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Model Type</w:t>
            </w:r>
          </w:p>
        </w:tc>
        <w:tc>
          <w:tcPr>
            <w:tcW w:w="2693" w:type="dxa"/>
            <w:tcBorders>
              <w:top w:val="single" w:sz="4" w:space="0" w:color="auto"/>
            </w:tcBorders>
          </w:tcPr>
          <w:p w14:paraId="30D82459" w14:textId="445B00A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TabNet Classifier</w:t>
            </w:r>
          </w:p>
        </w:tc>
      </w:tr>
      <w:tr w:rsidR="00211B68" w:rsidRPr="00211B68" w14:paraId="503B026E" w14:textId="77777777" w:rsidTr="0037336F">
        <w:trPr>
          <w:trHeight w:val="300"/>
          <w:jc w:val="center"/>
        </w:trPr>
        <w:tc>
          <w:tcPr>
            <w:tcW w:w="2531" w:type="dxa"/>
          </w:tcPr>
          <w:p w14:paraId="321FEEDA"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F69DD1C" w14:textId="4487F79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Number of Decision Steps</w:t>
            </w:r>
          </w:p>
        </w:tc>
        <w:tc>
          <w:tcPr>
            <w:tcW w:w="2693" w:type="dxa"/>
          </w:tcPr>
          <w:p w14:paraId="1BAC43F0" w14:textId="18C34D4C"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3</w:t>
            </w:r>
          </w:p>
        </w:tc>
      </w:tr>
      <w:tr w:rsidR="00211B68" w:rsidRPr="00211B68" w14:paraId="2A5CAF04" w14:textId="77777777" w:rsidTr="0037336F">
        <w:trPr>
          <w:trHeight w:val="300"/>
          <w:jc w:val="center"/>
        </w:trPr>
        <w:tc>
          <w:tcPr>
            <w:tcW w:w="2531" w:type="dxa"/>
          </w:tcPr>
          <w:p w14:paraId="3AD2C8D1"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175AAA4F" w14:textId="2F32905C"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Decision Dimension (`n_d`)</w:t>
            </w:r>
          </w:p>
        </w:tc>
        <w:tc>
          <w:tcPr>
            <w:tcW w:w="2693" w:type="dxa"/>
          </w:tcPr>
          <w:p w14:paraId="1E50F42F" w14:textId="1C51892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32</w:t>
            </w:r>
          </w:p>
        </w:tc>
      </w:tr>
      <w:tr w:rsidR="00211B68" w:rsidRPr="00211B68" w14:paraId="540896CE" w14:textId="77777777" w:rsidTr="0037336F">
        <w:trPr>
          <w:trHeight w:val="300"/>
          <w:jc w:val="center"/>
        </w:trPr>
        <w:tc>
          <w:tcPr>
            <w:tcW w:w="2531" w:type="dxa"/>
          </w:tcPr>
          <w:p w14:paraId="09F62376"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32B83132" w14:textId="41D8E2DA"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Attention Dimension (`n_a`)</w:t>
            </w:r>
          </w:p>
        </w:tc>
        <w:tc>
          <w:tcPr>
            <w:tcW w:w="2693" w:type="dxa"/>
          </w:tcPr>
          <w:p w14:paraId="0099A5D8" w14:textId="13000371"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32</w:t>
            </w:r>
          </w:p>
        </w:tc>
      </w:tr>
      <w:tr w:rsidR="00211B68" w:rsidRPr="00211B68" w14:paraId="1E80F918" w14:textId="77777777" w:rsidTr="0037336F">
        <w:trPr>
          <w:trHeight w:val="300"/>
          <w:jc w:val="center"/>
        </w:trPr>
        <w:tc>
          <w:tcPr>
            <w:tcW w:w="2531" w:type="dxa"/>
          </w:tcPr>
          <w:p w14:paraId="1FDEEA19"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5030585E" w14:textId="38839F5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Shared GLU Layers</w:t>
            </w:r>
          </w:p>
        </w:tc>
        <w:tc>
          <w:tcPr>
            <w:tcW w:w="2693" w:type="dxa"/>
          </w:tcPr>
          <w:p w14:paraId="2AEEED98" w14:textId="4F13B0DA"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w:t>
            </w:r>
          </w:p>
        </w:tc>
      </w:tr>
      <w:tr w:rsidR="00211B68" w:rsidRPr="00211B68" w14:paraId="1365BFCC" w14:textId="77777777" w:rsidTr="0037336F">
        <w:trPr>
          <w:trHeight w:val="300"/>
          <w:jc w:val="center"/>
        </w:trPr>
        <w:tc>
          <w:tcPr>
            <w:tcW w:w="2531" w:type="dxa"/>
          </w:tcPr>
          <w:p w14:paraId="1313DDFE"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44231268" w14:textId="2C846D6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Independent GLU Layers</w:t>
            </w:r>
          </w:p>
        </w:tc>
        <w:tc>
          <w:tcPr>
            <w:tcW w:w="2693" w:type="dxa"/>
          </w:tcPr>
          <w:p w14:paraId="29ECE76F" w14:textId="71D6E20F"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w:t>
            </w:r>
          </w:p>
        </w:tc>
      </w:tr>
      <w:tr w:rsidR="00211B68" w:rsidRPr="00211B68" w14:paraId="780394A4" w14:textId="77777777" w:rsidTr="0037336F">
        <w:trPr>
          <w:trHeight w:val="300"/>
          <w:jc w:val="center"/>
        </w:trPr>
        <w:tc>
          <w:tcPr>
            <w:tcW w:w="2531" w:type="dxa"/>
          </w:tcPr>
          <w:p w14:paraId="0BBE6567"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0194B2D" w14:textId="6F66B780"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Mask Type</w:t>
            </w:r>
          </w:p>
        </w:tc>
        <w:tc>
          <w:tcPr>
            <w:tcW w:w="2693" w:type="dxa"/>
          </w:tcPr>
          <w:p w14:paraId="7F65DBDF" w14:textId="1526D61C"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`sparsemax`</w:t>
            </w:r>
          </w:p>
        </w:tc>
      </w:tr>
      <w:tr w:rsidR="00211B68" w:rsidRPr="00211B68" w14:paraId="2107E570" w14:textId="77777777" w:rsidTr="0037336F">
        <w:trPr>
          <w:trHeight w:val="300"/>
          <w:jc w:val="center"/>
        </w:trPr>
        <w:tc>
          <w:tcPr>
            <w:tcW w:w="2531" w:type="dxa"/>
          </w:tcPr>
          <w:p w14:paraId="450ECF09"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B094BA3" w14:textId="529A9F9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Sparsity Regularization (λ)</w:t>
            </w:r>
          </w:p>
        </w:tc>
        <w:tc>
          <w:tcPr>
            <w:tcW w:w="2693" w:type="dxa"/>
          </w:tcPr>
          <w:p w14:paraId="7C218CBC" w14:textId="0E18B670"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0.001</w:t>
            </w:r>
          </w:p>
        </w:tc>
      </w:tr>
      <w:tr w:rsidR="00211B68" w:rsidRPr="00211B68" w14:paraId="6FA4239B" w14:textId="77777777" w:rsidTr="0037336F">
        <w:trPr>
          <w:trHeight w:val="300"/>
          <w:jc w:val="center"/>
        </w:trPr>
        <w:tc>
          <w:tcPr>
            <w:tcW w:w="2531" w:type="dxa"/>
          </w:tcPr>
          <w:p w14:paraId="24E2BEF7" w14:textId="3E30E0B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Input</w:t>
            </w:r>
          </w:p>
        </w:tc>
        <w:tc>
          <w:tcPr>
            <w:tcW w:w="3991" w:type="dxa"/>
          </w:tcPr>
          <w:p w14:paraId="76F4D0A0" w14:textId="5AB7D7F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Input Features</w:t>
            </w:r>
          </w:p>
        </w:tc>
        <w:tc>
          <w:tcPr>
            <w:tcW w:w="2693" w:type="dxa"/>
          </w:tcPr>
          <w:p w14:paraId="433EEB89" w14:textId="007A4BE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6</w:t>
            </w:r>
          </w:p>
        </w:tc>
      </w:tr>
      <w:tr w:rsidR="00211B68" w:rsidRPr="00211B68" w14:paraId="76FADF4F" w14:textId="77777777" w:rsidTr="0037336F">
        <w:trPr>
          <w:trHeight w:val="300"/>
          <w:jc w:val="center"/>
        </w:trPr>
        <w:tc>
          <w:tcPr>
            <w:tcW w:w="2531" w:type="dxa"/>
          </w:tcPr>
          <w:p w14:paraId="7D5BD7BF"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44F63218" w14:textId="59E4E0BE"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Target</w:t>
            </w:r>
          </w:p>
        </w:tc>
        <w:tc>
          <w:tcPr>
            <w:tcW w:w="2693" w:type="dxa"/>
          </w:tcPr>
          <w:p w14:paraId="005C092A" w14:textId="38E4E5E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Binary (`high_cost`)</w:t>
            </w:r>
          </w:p>
        </w:tc>
      </w:tr>
      <w:tr w:rsidR="00211B68" w:rsidRPr="00211B68" w14:paraId="14D59468" w14:textId="77777777" w:rsidTr="0037336F">
        <w:trPr>
          <w:trHeight w:val="300"/>
          <w:jc w:val="center"/>
        </w:trPr>
        <w:tc>
          <w:tcPr>
            <w:tcW w:w="2531" w:type="dxa"/>
          </w:tcPr>
          <w:p w14:paraId="4C063557"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18B77AAF" w14:textId="3C8EB3D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Categorical Encoding</w:t>
            </w:r>
          </w:p>
        </w:tc>
        <w:tc>
          <w:tcPr>
            <w:tcW w:w="2693" w:type="dxa"/>
          </w:tcPr>
          <w:p w14:paraId="36BF1D0C" w14:textId="738F318B"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Label Encoding</w:t>
            </w:r>
          </w:p>
        </w:tc>
      </w:tr>
      <w:tr w:rsidR="00211B68" w:rsidRPr="00211B68" w14:paraId="5B66B31E" w14:textId="77777777" w:rsidTr="0037336F">
        <w:trPr>
          <w:trHeight w:val="300"/>
          <w:jc w:val="center"/>
        </w:trPr>
        <w:tc>
          <w:tcPr>
            <w:tcW w:w="2531" w:type="dxa"/>
          </w:tcPr>
          <w:p w14:paraId="1F0F3A5E"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22060CF5" w14:textId="4995F84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Numerical Scaling</w:t>
            </w:r>
          </w:p>
        </w:tc>
        <w:tc>
          <w:tcPr>
            <w:tcW w:w="2693" w:type="dxa"/>
          </w:tcPr>
          <w:p w14:paraId="50934AF4" w14:textId="7AF3105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StandardScaler</w:t>
            </w:r>
          </w:p>
        </w:tc>
      </w:tr>
      <w:tr w:rsidR="00211B68" w:rsidRPr="00211B68" w14:paraId="3326FEAD" w14:textId="77777777" w:rsidTr="0037336F">
        <w:trPr>
          <w:trHeight w:val="300"/>
          <w:jc w:val="center"/>
        </w:trPr>
        <w:tc>
          <w:tcPr>
            <w:tcW w:w="2531" w:type="dxa"/>
          </w:tcPr>
          <w:p w14:paraId="59254520" w14:textId="205F908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Training</w:t>
            </w:r>
          </w:p>
        </w:tc>
        <w:tc>
          <w:tcPr>
            <w:tcW w:w="3991" w:type="dxa"/>
          </w:tcPr>
          <w:p w14:paraId="76E82622" w14:textId="73BA748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Optimizer</w:t>
            </w:r>
          </w:p>
        </w:tc>
        <w:tc>
          <w:tcPr>
            <w:tcW w:w="2693" w:type="dxa"/>
          </w:tcPr>
          <w:p w14:paraId="093B3AAE" w14:textId="00156D51"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Adam</w:t>
            </w:r>
          </w:p>
        </w:tc>
      </w:tr>
      <w:tr w:rsidR="00211B68" w:rsidRPr="00211B68" w14:paraId="2EE0B01F" w14:textId="77777777" w:rsidTr="0037336F">
        <w:trPr>
          <w:trHeight w:val="300"/>
          <w:jc w:val="center"/>
        </w:trPr>
        <w:tc>
          <w:tcPr>
            <w:tcW w:w="2531" w:type="dxa"/>
          </w:tcPr>
          <w:p w14:paraId="0E9289E0"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382EA310" w14:textId="53162FEB"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Learning Rate</w:t>
            </w:r>
          </w:p>
        </w:tc>
        <w:tc>
          <w:tcPr>
            <w:tcW w:w="2693" w:type="dxa"/>
          </w:tcPr>
          <w:p w14:paraId="769AE4A3" w14:textId="5174A728"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0.02</w:t>
            </w:r>
          </w:p>
        </w:tc>
      </w:tr>
      <w:tr w:rsidR="00211B68" w:rsidRPr="00211B68" w14:paraId="2E6E538B" w14:textId="77777777" w:rsidTr="0037336F">
        <w:trPr>
          <w:trHeight w:val="300"/>
          <w:jc w:val="center"/>
        </w:trPr>
        <w:tc>
          <w:tcPr>
            <w:tcW w:w="2531" w:type="dxa"/>
          </w:tcPr>
          <w:p w14:paraId="335D3E4E"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5B7A50C7" w14:textId="15393D6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Learning Rate Scheduler</w:t>
            </w:r>
          </w:p>
        </w:tc>
        <w:tc>
          <w:tcPr>
            <w:tcW w:w="2693" w:type="dxa"/>
          </w:tcPr>
          <w:p w14:paraId="189B7CAA" w14:textId="1DF9EB8D"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StepLR</w:t>
            </w:r>
          </w:p>
        </w:tc>
      </w:tr>
      <w:tr w:rsidR="00211B68" w:rsidRPr="00211B68" w14:paraId="3509ED64" w14:textId="77777777" w:rsidTr="0037336F">
        <w:trPr>
          <w:trHeight w:val="300"/>
          <w:jc w:val="center"/>
        </w:trPr>
        <w:tc>
          <w:tcPr>
            <w:tcW w:w="2531" w:type="dxa"/>
          </w:tcPr>
          <w:p w14:paraId="0147E49F"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21555D74" w14:textId="4FF4D1D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Batch Size</w:t>
            </w:r>
          </w:p>
        </w:tc>
        <w:tc>
          <w:tcPr>
            <w:tcW w:w="2693" w:type="dxa"/>
          </w:tcPr>
          <w:p w14:paraId="4237307F" w14:textId="739C3B1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256</w:t>
            </w:r>
          </w:p>
        </w:tc>
      </w:tr>
      <w:tr w:rsidR="00211B68" w:rsidRPr="00211B68" w14:paraId="3E1F6469" w14:textId="77777777" w:rsidTr="0037336F">
        <w:trPr>
          <w:trHeight w:val="300"/>
          <w:jc w:val="center"/>
        </w:trPr>
        <w:tc>
          <w:tcPr>
            <w:tcW w:w="2531" w:type="dxa"/>
          </w:tcPr>
          <w:p w14:paraId="16670B1A"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431FECB" w14:textId="7E22D488"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Virtual Batch Size</w:t>
            </w:r>
          </w:p>
        </w:tc>
        <w:tc>
          <w:tcPr>
            <w:tcW w:w="2693" w:type="dxa"/>
          </w:tcPr>
          <w:p w14:paraId="3CD216EA" w14:textId="0635A210"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128</w:t>
            </w:r>
          </w:p>
        </w:tc>
      </w:tr>
      <w:tr w:rsidR="00211B68" w:rsidRPr="00211B68" w14:paraId="0154612C" w14:textId="77777777" w:rsidTr="0037336F">
        <w:trPr>
          <w:trHeight w:val="300"/>
          <w:jc w:val="center"/>
        </w:trPr>
        <w:tc>
          <w:tcPr>
            <w:tcW w:w="2531" w:type="dxa"/>
          </w:tcPr>
          <w:p w14:paraId="4549D05B"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1739C0B5" w14:textId="194064C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Max Epochs</w:t>
            </w:r>
          </w:p>
        </w:tc>
        <w:tc>
          <w:tcPr>
            <w:tcW w:w="2693" w:type="dxa"/>
          </w:tcPr>
          <w:p w14:paraId="5E7CB340" w14:textId="25E0C8EA"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100</w:t>
            </w:r>
          </w:p>
        </w:tc>
      </w:tr>
      <w:tr w:rsidR="00211B68" w:rsidRPr="00211B68" w14:paraId="1A4EF7E8" w14:textId="77777777" w:rsidTr="0037336F">
        <w:trPr>
          <w:trHeight w:val="300"/>
          <w:jc w:val="center"/>
        </w:trPr>
        <w:tc>
          <w:tcPr>
            <w:tcW w:w="2531" w:type="dxa"/>
          </w:tcPr>
          <w:p w14:paraId="775329E1" w14:textId="77777777"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p>
        </w:tc>
        <w:tc>
          <w:tcPr>
            <w:tcW w:w="3991" w:type="dxa"/>
          </w:tcPr>
          <w:p w14:paraId="039D7197" w14:textId="566744C4"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Early Stopping Patience</w:t>
            </w:r>
          </w:p>
        </w:tc>
        <w:tc>
          <w:tcPr>
            <w:tcW w:w="2693" w:type="dxa"/>
          </w:tcPr>
          <w:p w14:paraId="17BE917B" w14:textId="3F40D9E5"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20</w:t>
            </w:r>
          </w:p>
        </w:tc>
      </w:tr>
      <w:tr w:rsidR="00211B68" w:rsidRPr="00211B68" w14:paraId="4A629C7C" w14:textId="77777777" w:rsidTr="0037336F">
        <w:trPr>
          <w:trHeight w:val="300"/>
          <w:jc w:val="center"/>
        </w:trPr>
        <w:tc>
          <w:tcPr>
            <w:tcW w:w="2531" w:type="dxa"/>
          </w:tcPr>
          <w:p w14:paraId="160EE4DF" w14:textId="4F1A2C59"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Class Handling</w:t>
            </w:r>
          </w:p>
        </w:tc>
        <w:tc>
          <w:tcPr>
            <w:tcW w:w="3991" w:type="dxa"/>
          </w:tcPr>
          <w:p w14:paraId="155B239C" w14:textId="0F1DA56B"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Class Balancing</w:t>
            </w:r>
          </w:p>
        </w:tc>
        <w:tc>
          <w:tcPr>
            <w:tcW w:w="2693" w:type="dxa"/>
          </w:tcPr>
          <w:p w14:paraId="1CD57EA2" w14:textId="72DB2483"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Inverse class weighting</w:t>
            </w:r>
          </w:p>
        </w:tc>
      </w:tr>
      <w:tr w:rsidR="0037336F" w:rsidRPr="00211B68" w14:paraId="29201A45" w14:textId="77777777" w:rsidTr="0037336F">
        <w:trPr>
          <w:trHeight w:val="300"/>
          <w:jc w:val="center"/>
        </w:trPr>
        <w:tc>
          <w:tcPr>
            <w:tcW w:w="2531" w:type="dxa"/>
            <w:tcBorders>
              <w:bottom w:val="single" w:sz="4" w:space="0" w:color="auto"/>
            </w:tcBorders>
          </w:tcPr>
          <w:p w14:paraId="4008CF32" w14:textId="1AE18D16"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Hardware</w:t>
            </w:r>
          </w:p>
        </w:tc>
        <w:tc>
          <w:tcPr>
            <w:tcW w:w="3991" w:type="dxa"/>
            <w:tcBorders>
              <w:bottom w:val="single" w:sz="4" w:space="0" w:color="auto"/>
            </w:tcBorders>
          </w:tcPr>
          <w:p w14:paraId="7C5D448B" w14:textId="183BB675"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Device</w:t>
            </w:r>
          </w:p>
        </w:tc>
        <w:tc>
          <w:tcPr>
            <w:tcW w:w="2693" w:type="dxa"/>
            <w:tcBorders>
              <w:bottom w:val="single" w:sz="4" w:space="0" w:color="auto"/>
            </w:tcBorders>
          </w:tcPr>
          <w:p w14:paraId="3A2752B8" w14:textId="77F95741" w:rsidR="0037336F" w:rsidRPr="00211B68" w:rsidRDefault="0037336F" w:rsidP="0037336F">
            <w:pPr>
              <w:bidi w:val="0"/>
              <w:spacing w:after="0" w:line="240" w:lineRule="auto"/>
              <w:jc w:val="center"/>
              <w:rPr>
                <w:rFonts w:asciiTheme="majorBidi" w:eastAsia="Times New Roman" w:hAnsiTheme="majorBidi" w:cstheme="majorBidi"/>
                <w:color w:val="000000" w:themeColor="text1"/>
                <w:kern w:val="0"/>
                <w14:ligatures w14:val="none"/>
              </w:rPr>
            </w:pPr>
            <w:r w:rsidRPr="00211B68">
              <w:rPr>
                <w:rFonts w:asciiTheme="majorBidi" w:eastAsia="Times New Roman" w:hAnsiTheme="majorBidi" w:cstheme="majorBidi"/>
                <w:color w:val="000000" w:themeColor="text1"/>
                <w:kern w:val="0"/>
                <w14:ligatures w14:val="none"/>
              </w:rPr>
              <w:t>Auto (CPU/GPU)</w:t>
            </w:r>
          </w:p>
        </w:tc>
      </w:tr>
    </w:tbl>
    <w:p w14:paraId="2A0F88A8" w14:textId="77777777" w:rsidR="0037336F" w:rsidRPr="00211B68" w:rsidRDefault="0037336F" w:rsidP="0037336F">
      <w:pPr>
        <w:bidi w:val="0"/>
        <w:spacing w:before="100" w:beforeAutospacing="1" w:after="100" w:afterAutospacing="1" w:line="240" w:lineRule="auto"/>
        <w:ind w:left="-625"/>
        <w:jc w:val="center"/>
        <w:rPr>
          <w:rFonts w:ascii="Times New Roman" w:eastAsia="Times New Roman" w:hAnsi="Times New Roman" w:cs="Times New Roman"/>
          <w:b/>
          <w:bCs/>
          <w:color w:val="000000" w:themeColor="text1"/>
          <w:kern w:val="0"/>
          <w:sz w:val="24"/>
          <w:szCs w:val="24"/>
          <w14:ligatures w14:val="none"/>
        </w:rPr>
      </w:pPr>
    </w:p>
    <w:p w14:paraId="732BE78C" w14:textId="77777777" w:rsidR="005E0A83" w:rsidRPr="00211B68" w:rsidRDefault="005E0A83" w:rsidP="005E0A83">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p>
    <w:p w14:paraId="6BEE29EF" w14:textId="33E1BD50" w:rsidR="005E0A83" w:rsidRPr="00211B68" w:rsidRDefault="005E0A83" w:rsidP="005E0A83">
      <w:pPr>
        <w:bidi w:val="0"/>
        <w:spacing w:before="100" w:beforeAutospacing="1" w:after="100" w:afterAutospacing="1" w:line="240" w:lineRule="auto"/>
        <w:ind w:left="-625"/>
        <w:jc w:val="both"/>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Figure 1 presents the full TabNet architecture used to model structured insurance datasets in this paper. It presents the internal workflow of the TabNet encoder and decoder, including the multi-step decision process, the functions of different feature transformers, and attention-based mechanisms for dynamic feature selection. In the figure, we also describe the shared and decision-dependent parts of the feature transformer and the attentive transformer for sparse feature masks. This architectural representation shows how TabNet achieves both high predictive performance and interpretability, which are crucial for its applications in healthcare insurance cost prediction and decision support.</w:t>
      </w:r>
    </w:p>
    <w:p w14:paraId="75B357F4" w14:textId="7C421E21" w:rsidR="0097532C" w:rsidRPr="00211B68" w:rsidRDefault="0097532C" w:rsidP="0097532C">
      <w:pPr>
        <w:bidi w:val="0"/>
        <w:spacing w:before="100" w:beforeAutospacing="1" w:after="100" w:afterAutospacing="1" w:line="240" w:lineRule="auto"/>
        <w:ind w:left="-625"/>
        <w:jc w:val="center"/>
        <w:rPr>
          <w:rFonts w:ascii="Times New Roman" w:eastAsia="Times New Roman" w:hAnsi="Times New Roman" w:cs="Times New Roman"/>
          <w:b/>
          <w:bCs/>
          <w:color w:val="000000" w:themeColor="text1"/>
          <w:kern w:val="0"/>
          <w:sz w:val="24"/>
          <w:szCs w:val="24"/>
          <w14:ligatures w14:val="none"/>
        </w:rPr>
      </w:pPr>
      <w:r w:rsidRPr="00211B68">
        <w:rPr>
          <w:noProof/>
          <w:color w:val="000000" w:themeColor="text1"/>
        </w:rPr>
        <w:drawing>
          <wp:inline distT="0" distB="0" distL="0" distR="0" wp14:anchorId="0F8AC6CF" wp14:editId="264D941B">
            <wp:extent cx="5608320" cy="3246120"/>
            <wp:effectExtent l="0" t="0" r="0" b="0"/>
            <wp:docPr id="798907055" name="Picture 1" descr="TabNet Architecture from the official TabNet paper [78]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Net Architecture from the official TabNet paper [78]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3246120"/>
                    </a:xfrm>
                    <a:prstGeom prst="rect">
                      <a:avLst/>
                    </a:prstGeom>
                    <a:noFill/>
                    <a:ln>
                      <a:noFill/>
                    </a:ln>
                  </pic:spPr>
                </pic:pic>
              </a:graphicData>
            </a:graphic>
          </wp:inline>
        </w:drawing>
      </w:r>
    </w:p>
    <w:p w14:paraId="76AA5F17" w14:textId="1F535FC1" w:rsidR="0097532C" w:rsidRPr="00211B68" w:rsidRDefault="0097532C" w:rsidP="0097532C">
      <w:pPr>
        <w:bidi w:val="0"/>
        <w:spacing w:before="100" w:beforeAutospacing="1" w:after="100" w:afterAutospacing="1" w:line="240" w:lineRule="auto"/>
        <w:ind w:left="-625"/>
        <w:jc w:val="both"/>
        <w:rPr>
          <w:rFonts w:ascii="Times New Roman" w:eastAsia="Times New Roman" w:hAnsi="Times New Roman" w:cs="Times New Roman"/>
          <w:b/>
          <w:bCs/>
          <w:color w:val="000000" w:themeColor="text1"/>
          <w:kern w:val="0"/>
          <w:sz w:val="24"/>
          <w:szCs w:val="24"/>
          <w14:ligatures w14:val="none"/>
        </w:rPr>
      </w:pPr>
      <w:r w:rsidRPr="00211B68">
        <w:rPr>
          <w:b/>
          <w:bCs/>
          <w:color w:val="000000" w:themeColor="text1"/>
        </w:rPr>
        <w:t>Figure 1.</w:t>
      </w:r>
      <w:r w:rsidRPr="00211B68">
        <w:rPr>
          <w:color w:val="000000" w:themeColor="text1"/>
        </w:rPr>
        <w:t xml:space="preserve">   Architecture of the TabNet model with multi-step feature transformers and attention-based feature selection for insurance cost prediction.</w:t>
      </w:r>
    </w:p>
    <w:p w14:paraId="219F5633" w14:textId="3C4D7B4E" w:rsidR="0097532C" w:rsidRPr="00211B68" w:rsidRDefault="0097532C" w:rsidP="0097532C">
      <w:pPr>
        <w:pStyle w:val="NormalWeb"/>
        <w:rPr>
          <w:color w:val="000000" w:themeColor="text1"/>
        </w:rPr>
      </w:pPr>
    </w:p>
    <w:p w14:paraId="756020C6" w14:textId="40F10561" w:rsidR="0097532C" w:rsidRPr="00211B68" w:rsidRDefault="005E0A83" w:rsidP="005E0A83">
      <w:pPr>
        <w:bidi w:val="0"/>
        <w:spacing w:before="100" w:beforeAutospacing="1" w:after="100" w:afterAutospacing="1" w:line="240" w:lineRule="auto"/>
        <w:ind w:left="-625"/>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3.2  Setup</w:t>
      </w:r>
    </w:p>
    <w:p w14:paraId="56F09235" w14:textId="77777777" w:rsidR="005E0A83" w:rsidRPr="00211B68" w:rsidRDefault="005E0A83" w:rsidP="005E0A83">
      <w:pPr>
        <w:bidi w:val="0"/>
        <w:spacing w:before="100" w:beforeAutospacing="1" w:after="100" w:afterAutospacing="1" w:line="240" w:lineRule="auto"/>
        <w:ind w:left="-625"/>
        <w:jc w:val="both"/>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To provide a comprehensive evaluation of the TabNet classifier's performance, the proposed IoT-based healthcare insurance system was assessed using several standard classification metrics. This paper reports the results of our experiments, showing that the proposed model can differentiate between high- and low-cost insurance cases, achieving high predictive accuracy. In particular, the model performed particularly well, obtaining 95.15% accuracy. The precision score of 99.19% demonstrates that this model also achieved very accurate detection of high-cost insurance cases. Moreover, a recall rate of 91.04% reflects that the vast majority of the high-cost cases were successfully identified.</w:t>
      </w:r>
    </w:p>
    <w:p w14:paraId="55F9798B" w14:textId="06ABBA66" w:rsidR="005E0A83" w:rsidRPr="00211B68" w:rsidRDefault="00211B68" w:rsidP="005E0A83">
      <w:pPr>
        <w:bidi w:val="0"/>
        <w:spacing w:before="100" w:beforeAutospacing="1" w:after="100" w:afterAutospacing="1" w:line="240" w:lineRule="auto"/>
        <w:ind w:left="-625"/>
        <w:jc w:val="both"/>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The model's 99.25% specificity indicates its effectiveness in accurately representing low-cost insurance cases. Furthermore, a high F1 score of 94.94% suggests balanced performance, and an ROC-AUC of 94.34% indicates strong discriminative power across classification levels. The confusion matrix analysis suggests that the classification performance is very high, with a low number of misclassifications compared to other classifiers. This was an affirmation that it is a reliable and stable model in practical insurance situations. The ROC curve indicates a high degree of separation between the positive and negative categories and is roughly at the top-left corner of the plot. This behaviour illustrates a model with high sensitivity, specificity, and robustness across a range of decision thresholds. Lastly, feature importance interpretation in TabNet’s attention mechanism suggests that smoking status, BMI, and age are the major predictors of insurance costs. The interpretable results lend the model credibility and are valuable to insurers for pricing, risk assessment, and policy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gridCol w:w="95"/>
        <w:gridCol w:w="95"/>
        <w:gridCol w:w="95"/>
        <w:gridCol w:w="95"/>
        <w:gridCol w:w="110"/>
      </w:tblGrid>
      <w:tr w:rsidR="00211B68" w:rsidRPr="00211B68" w14:paraId="71F43FE7" w14:textId="77777777">
        <w:trPr>
          <w:tblCellSpacing w:w="15" w:type="dxa"/>
        </w:trPr>
        <w:tc>
          <w:tcPr>
            <w:tcW w:w="0" w:type="auto"/>
            <w:vAlign w:val="center"/>
            <w:hideMark/>
          </w:tcPr>
          <w:p w14:paraId="7E8A5C89"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95.15</w:t>
            </w:r>
          </w:p>
        </w:tc>
        <w:tc>
          <w:tcPr>
            <w:tcW w:w="0" w:type="auto"/>
            <w:vAlign w:val="center"/>
            <w:hideMark/>
          </w:tcPr>
          <w:p w14:paraId="1D0CF8C5"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99.19</w:t>
            </w:r>
          </w:p>
        </w:tc>
        <w:tc>
          <w:tcPr>
            <w:tcW w:w="0" w:type="auto"/>
            <w:vAlign w:val="center"/>
            <w:hideMark/>
          </w:tcPr>
          <w:p w14:paraId="15B060EE"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91.04</w:t>
            </w:r>
          </w:p>
        </w:tc>
        <w:tc>
          <w:tcPr>
            <w:tcW w:w="0" w:type="auto"/>
            <w:vAlign w:val="center"/>
            <w:hideMark/>
          </w:tcPr>
          <w:p w14:paraId="2A834941"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99.25</w:t>
            </w:r>
          </w:p>
        </w:tc>
        <w:tc>
          <w:tcPr>
            <w:tcW w:w="0" w:type="auto"/>
            <w:vAlign w:val="center"/>
            <w:hideMark/>
          </w:tcPr>
          <w:p w14:paraId="099DFE56"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94.94</w:t>
            </w:r>
          </w:p>
        </w:tc>
        <w:tc>
          <w:tcPr>
            <w:tcW w:w="0" w:type="auto"/>
            <w:vAlign w:val="center"/>
            <w:hideMark/>
          </w:tcPr>
          <w:p w14:paraId="0D32D3CE" w14:textId="77777777" w:rsidR="0029612E" w:rsidRPr="00211B68" w:rsidRDefault="0029612E" w:rsidP="0029612E">
            <w:pPr>
              <w:bidi w:val="0"/>
              <w:spacing w:after="0" w:line="240" w:lineRule="auto"/>
              <w:ind w:left="-625"/>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94.34</w:t>
            </w:r>
          </w:p>
        </w:tc>
      </w:tr>
    </w:tbl>
    <w:p w14:paraId="254F8B98" w14:textId="2FB69289" w:rsidR="0029612E" w:rsidRPr="00211B68" w:rsidRDefault="0029612E" w:rsidP="0029612E">
      <w:pPr>
        <w:bidi w:val="0"/>
        <w:spacing w:before="100" w:beforeAutospacing="1" w:after="100" w:afterAutospacing="1" w:line="24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Table </w:t>
      </w:r>
      <w:r w:rsidR="0097532C" w:rsidRPr="00211B68">
        <w:rPr>
          <w:rFonts w:ascii="Times New Roman" w:eastAsia="Times New Roman" w:hAnsi="Times New Roman" w:cs="Times New Roman"/>
          <w:b/>
          <w:bCs/>
          <w:color w:val="000000" w:themeColor="text1"/>
          <w:kern w:val="0"/>
          <w:sz w:val="24"/>
          <w:szCs w:val="24"/>
          <w14:ligatures w14:val="none"/>
        </w:rPr>
        <w:t>2</w:t>
      </w:r>
      <w:r w:rsidRPr="00211B68">
        <w:rPr>
          <w:rFonts w:ascii="Times New Roman" w:eastAsia="Times New Roman" w:hAnsi="Times New Roman" w:cs="Times New Roman"/>
          <w:b/>
          <w:bCs/>
          <w:color w:val="000000" w:themeColor="text1"/>
          <w:kern w:val="0"/>
          <w:sz w:val="24"/>
          <w:szCs w:val="24"/>
          <w14:ligatures w14:val="none"/>
        </w:rPr>
        <w:t>. Performance Evaluation Results of the TabNet Classifier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843"/>
        <w:gridCol w:w="992"/>
        <w:gridCol w:w="1701"/>
        <w:gridCol w:w="1418"/>
        <w:gridCol w:w="1559"/>
      </w:tblGrid>
      <w:tr w:rsidR="00211B68" w:rsidRPr="00211B68" w14:paraId="49877F18" w14:textId="77777777" w:rsidTr="0029612E">
        <w:trPr>
          <w:tblHeader/>
          <w:tblCellSpacing w:w="15" w:type="dxa"/>
        </w:trPr>
        <w:tc>
          <w:tcPr>
            <w:tcW w:w="1089" w:type="dxa"/>
            <w:tcBorders>
              <w:top w:val="single" w:sz="4" w:space="0" w:color="auto"/>
              <w:bottom w:val="single" w:sz="4" w:space="0" w:color="auto"/>
            </w:tcBorders>
            <w:vAlign w:val="center"/>
            <w:hideMark/>
          </w:tcPr>
          <w:p w14:paraId="2EF68879"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Accuracy </w:t>
            </w:r>
          </w:p>
          <w:p w14:paraId="77AAFFE9" w14:textId="11EF936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c>
          <w:tcPr>
            <w:tcW w:w="1813" w:type="dxa"/>
            <w:tcBorders>
              <w:top w:val="single" w:sz="4" w:space="0" w:color="auto"/>
              <w:bottom w:val="single" w:sz="4" w:space="0" w:color="auto"/>
            </w:tcBorders>
            <w:vAlign w:val="center"/>
            <w:hideMark/>
          </w:tcPr>
          <w:p w14:paraId="5199BCDF"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Precision </w:t>
            </w:r>
          </w:p>
          <w:p w14:paraId="76288899" w14:textId="781ED336"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c>
          <w:tcPr>
            <w:tcW w:w="962" w:type="dxa"/>
            <w:tcBorders>
              <w:top w:val="single" w:sz="4" w:space="0" w:color="auto"/>
              <w:bottom w:val="single" w:sz="4" w:space="0" w:color="auto"/>
            </w:tcBorders>
            <w:vAlign w:val="center"/>
            <w:hideMark/>
          </w:tcPr>
          <w:p w14:paraId="4A74A65B"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Recall</w:t>
            </w:r>
          </w:p>
          <w:p w14:paraId="0C0D58A3" w14:textId="12A7CD1E"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 (%)</w:t>
            </w:r>
          </w:p>
        </w:tc>
        <w:tc>
          <w:tcPr>
            <w:tcW w:w="1671" w:type="dxa"/>
            <w:tcBorders>
              <w:top w:val="single" w:sz="4" w:space="0" w:color="auto"/>
              <w:bottom w:val="single" w:sz="4" w:space="0" w:color="auto"/>
            </w:tcBorders>
            <w:vAlign w:val="center"/>
            <w:hideMark/>
          </w:tcPr>
          <w:p w14:paraId="02B5C734"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Specificity</w:t>
            </w:r>
          </w:p>
          <w:p w14:paraId="770E0CD9" w14:textId="527C3979"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 (%)</w:t>
            </w:r>
          </w:p>
        </w:tc>
        <w:tc>
          <w:tcPr>
            <w:tcW w:w="1388" w:type="dxa"/>
            <w:tcBorders>
              <w:top w:val="single" w:sz="4" w:space="0" w:color="auto"/>
              <w:bottom w:val="single" w:sz="4" w:space="0" w:color="auto"/>
            </w:tcBorders>
            <w:vAlign w:val="center"/>
            <w:hideMark/>
          </w:tcPr>
          <w:p w14:paraId="515F5CE9"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F1-Score </w:t>
            </w:r>
          </w:p>
          <w:p w14:paraId="710FE467" w14:textId="35748000"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c>
          <w:tcPr>
            <w:tcW w:w="1514" w:type="dxa"/>
            <w:tcBorders>
              <w:top w:val="single" w:sz="4" w:space="0" w:color="auto"/>
              <w:bottom w:val="single" w:sz="4" w:space="0" w:color="auto"/>
            </w:tcBorders>
            <w:vAlign w:val="center"/>
            <w:hideMark/>
          </w:tcPr>
          <w:p w14:paraId="2F3F9644" w14:textId="77777777"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 xml:space="preserve">ROC-AUC </w:t>
            </w:r>
          </w:p>
          <w:p w14:paraId="09BA4220" w14:textId="6433B8A6" w:rsidR="0029612E" w:rsidRPr="00211B68" w:rsidRDefault="0029612E" w:rsidP="0029612E">
            <w:pPr>
              <w:bidi w:val="0"/>
              <w:spacing w:after="0" w:line="240" w:lineRule="auto"/>
              <w:jc w:val="center"/>
              <w:rPr>
                <w:rFonts w:ascii="Times New Roman" w:eastAsia="Times New Roman" w:hAnsi="Times New Roman" w:cs="Times New Roman"/>
                <w:b/>
                <w:bCs/>
                <w:color w:val="000000" w:themeColor="text1"/>
                <w:kern w:val="0"/>
                <w:sz w:val="24"/>
                <w:szCs w:val="24"/>
                <w14:ligatures w14:val="none"/>
              </w:rPr>
            </w:pPr>
            <w:r w:rsidRPr="00211B68">
              <w:rPr>
                <w:rFonts w:ascii="Times New Roman" w:eastAsia="Times New Roman" w:hAnsi="Times New Roman" w:cs="Times New Roman"/>
                <w:b/>
                <w:bCs/>
                <w:color w:val="000000" w:themeColor="text1"/>
                <w:kern w:val="0"/>
                <w:sz w:val="24"/>
                <w:szCs w:val="24"/>
                <w14:ligatures w14:val="none"/>
              </w:rPr>
              <w:t>(%)</w:t>
            </w:r>
          </w:p>
        </w:tc>
      </w:tr>
      <w:tr w:rsidR="0029612E" w:rsidRPr="00211B68" w14:paraId="62F303C1" w14:textId="77777777" w:rsidTr="0029612E">
        <w:trPr>
          <w:tblCellSpacing w:w="15" w:type="dxa"/>
        </w:trPr>
        <w:tc>
          <w:tcPr>
            <w:tcW w:w="1089" w:type="dxa"/>
            <w:tcBorders>
              <w:top w:val="single" w:sz="4" w:space="0" w:color="auto"/>
              <w:bottom w:val="single" w:sz="4" w:space="0" w:color="auto"/>
            </w:tcBorders>
            <w:vAlign w:val="center"/>
            <w:hideMark/>
          </w:tcPr>
          <w:p w14:paraId="6E23A1C5"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95.15</w:t>
            </w:r>
          </w:p>
        </w:tc>
        <w:tc>
          <w:tcPr>
            <w:tcW w:w="1813" w:type="dxa"/>
            <w:tcBorders>
              <w:top w:val="single" w:sz="4" w:space="0" w:color="auto"/>
              <w:bottom w:val="single" w:sz="4" w:space="0" w:color="auto"/>
            </w:tcBorders>
            <w:vAlign w:val="center"/>
            <w:hideMark/>
          </w:tcPr>
          <w:p w14:paraId="6801EB8A"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99.19</w:t>
            </w:r>
          </w:p>
        </w:tc>
        <w:tc>
          <w:tcPr>
            <w:tcW w:w="962" w:type="dxa"/>
            <w:tcBorders>
              <w:top w:val="single" w:sz="4" w:space="0" w:color="auto"/>
              <w:bottom w:val="single" w:sz="4" w:space="0" w:color="auto"/>
            </w:tcBorders>
            <w:vAlign w:val="center"/>
            <w:hideMark/>
          </w:tcPr>
          <w:p w14:paraId="2CB5F968"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91.04</w:t>
            </w:r>
          </w:p>
        </w:tc>
        <w:tc>
          <w:tcPr>
            <w:tcW w:w="1671" w:type="dxa"/>
            <w:tcBorders>
              <w:top w:val="single" w:sz="4" w:space="0" w:color="auto"/>
              <w:bottom w:val="single" w:sz="4" w:space="0" w:color="auto"/>
            </w:tcBorders>
            <w:vAlign w:val="center"/>
            <w:hideMark/>
          </w:tcPr>
          <w:p w14:paraId="5C2DD050"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99.25</w:t>
            </w:r>
          </w:p>
        </w:tc>
        <w:tc>
          <w:tcPr>
            <w:tcW w:w="1388" w:type="dxa"/>
            <w:tcBorders>
              <w:top w:val="single" w:sz="4" w:space="0" w:color="auto"/>
              <w:bottom w:val="single" w:sz="4" w:space="0" w:color="auto"/>
            </w:tcBorders>
            <w:vAlign w:val="center"/>
            <w:hideMark/>
          </w:tcPr>
          <w:p w14:paraId="649D7C7B"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94.94</w:t>
            </w:r>
          </w:p>
        </w:tc>
        <w:tc>
          <w:tcPr>
            <w:tcW w:w="1514" w:type="dxa"/>
            <w:tcBorders>
              <w:top w:val="single" w:sz="4" w:space="0" w:color="auto"/>
              <w:bottom w:val="single" w:sz="4" w:space="0" w:color="auto"/>
            </w:tcBorders>
            <w:vAlign w:val="center"/>
            <w:hideMark/>
          </w:tcPr>
          <w:p w14:paraId="08BD5859" w14:textId="77777777" w:rsidR="0029612E" w:rsidRPr="00211B68" w:rsidRDefault="0029612E" w:rsidP="0029612E">
            <w:pPr>
              <w:bidi w:val="0"/>
              <w:spacing w:after="0" w:line="360" w:lineRule="auto"/>
              <w:jc w:val="center"/>
              <w:rPr>
                <w:rFonts w:ascii="Times New Roman" w:eastAsia="Times New Roman" w:hAnsi="Times New Roman" w:cs="Times New Roman"/>
                <w:color w:val="000000" w:themeColor="text1"/>
                <w:kern w:val="0"/>
                <w:sz w:val="24"/>
                <w:szCs w:val="24"/>
                <w14:ligatures w14:val="none"/>
              </w:rPr>
            </w:pPr>
            <w:r w:rsidRPr="00211B68">
              <w:rPr>
                <w:rFonts w:ascii="Times New Roman" w:eastAsia="Times New Roman" w:hAnsi="Times New Roman" w:cs="Times New Roman"/>
                <w:color w:val="000000" w:themeColor="text1"/>
                <w:kern w:val="0"/>
                <w:sz w:val="24"/>
                <w:szCs w:val="24"/>
                <w14:ligatures w14:val="none"/>
              </w:rPr>
              <w:t>94.34</w:t>
            </w:r>
          </w:p>
        </w:tc>
      </w:tr>
    </w:tbl>
    <w:p w14:paraId="3494FD60" w14:textId="77777777" w:rsidR="0098228E" w:rsidRPr="00211B68" w:rsidRDefault="0098228E" w:rsidP="0029612E">
      <w:pPr>
        <w:bidi w:val="0"/>
        <w:spacing w:before="100" w:beforeAutospacing="1" w:after="100" w:afterAutospacing="1" w:line="240" w:lineRule="auto"/>
        <w:ind w:left="-625"/>
        <w:rPr>
          <w:rFonts w:ascii="Times New Roman" w:eastAsia="Times New Roman" w:hAnsi="Times New Roman" w:cs="Times New Roman"/>
          <w:color w:val="000000" w:themeColor="text1"/>
          <w:kern w:val="0"/>
          <w:sz w:val="24"/>
          <w:szCs w:val="24"/>
          <w14:ligatures w14:val="none"/>
        </w:rPr>
      </w:pPr>
    </w:p>
    <w:p w14:paraId="07B13064" w14:textId="77777777" w:rsidR="00EC7F32" w:rsidRPr="00211B68" w:rsidRDefault="00EC7F32" w:rsidP="00EC7F32">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39A2367" w14:textId="77777777" w:rsidR="00EC7F32" w:rsidRPr="00211B68" w:rsidRDefault="00EC7F32" w:rsidP="00EC7F32">
      <w:pPr>
        <w:shd w:val="clear" w:color="auto" w:fill="FFFFFF"/>
        <w:bidi w:val="0"/>
        <w:spacing w:after="0" w:line="255" w:lineRule="atLeast"/>
        <w:ind w:left="-625"/>
        <w:jc w:val="center"/>
        <w:rPr>
          <w:rFonts w:ascii="Courier New" w:eastAsia="Times New Roman" w:hAnsi="Courier New" w:cs="Courier New"/>
          <w:color w:val="000000" w:themeColor="text1"/>
          <w:kern w:val="0"/>
          <w:sz w:val="18"/>
          <w:szCs w:val="18"/>
          <w14:ligatures w14:val="none"/>
        </w:rPr>
      </w:pPr>
      <w:r w:rsidRPr="00211B68">
        <w:rPr>
          <w:noProof/>
          <w:color w:val="000000" w:themeColor="text1"/>
        </w:rPr>
        <w:drawing>
          <wp:inline distT="0" distB="0" distL="0" distR="0" wp14:anchorId="1D55C79E" wp14:editId="4D560867">
            <wp:extent cx="2854510" cy="2433172"/>
            <wp:effectExtent l="0" t="0" r="3175" b="5715"/>
            <wp:docPr id="15237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62109" cy="2439649"/>
                    </a:xfrm>
                    <a:prstGeom prst="rect">
                      <a:avLst/>
                    </a:prstGeom>
                    <a:noFill/>
                    <a:ln>
                      <a:noFill/>
                    </a:ln>
                  </pic:spPr>
                </pic:pic>
              </a:graphicData>
            </a:graphic>
          </wp:inline>
        </w:drawing>
      </w:r>
    </w:p>
    <w:p w14:paraId="3B4CED4D" w14:textId="77777777" w:rsidR="00EC7F32" w:rsidRPr="00211B68" w:rsidRDefault="00EC7F32" w:rsidP="005E0A83">
      <w:pPr>
        <w:spacing w:after="0" w:line="240" w:lineRule="auto"/>
        <w:ind w:left="-625"/>
        <w:jc w:val="center"/>
        <w:rPr>
          <w:rFonts w:ascii="Times New Roman" w:hAnsi="Times New Roman" w:cs="Times New Roman"/>
          <w:color w:val="000000" w:themeColor="text1"/>
          <w:sz w:val="24"/>
          <w:szCs w:val="24"/>
          <w:lang w:bidi="ar-IQ"/>
        </w:rPr>
      </w:pPr>
    </w:p>
    <w:p w14:paraId="024D159F" w14:textId="3C31B270" w:rsidR="0005190C" w:rsidRPr="00211B68" w:rsidRDefault="0097532C" w:rsidP="005E0A83">
      <w:pPr>
        <w:bidi w:val="0"/>
        <w:spacing w:after="0" w:line="240" w:lineRule="auto"/>
        <w:ind w:left="-625"/>
        <w:jc w:val="both"/>
        <w:rPr>
          <w:color w:val="000000" w:themeColor="text1"/>
        </w:rPr>
      </w:pPr>
      <w:r w:rsidRPr="00211B68">
        <w:rPr>
          <w:b/>
          <w:bCs/>
          <w:color w:val="000000" w:themeColor="text1"/>
        </w:rPr>
        <w:t xml:space="preserve">Figure </w:t>
      </w:r>
      <w:r w:rsidR="005E0A83" w:rsidRPr="00211B68">
        <w:rPr>
          <w:b/>
          <w:bCs/>
          <w:color w:val="000000" w:themeColor="text1"/>
        </w:rPr>
        <w:t>2</w:t>
      </w:r>
      <w:r w:rsidRPr="00211B68">
        <w:rPr>
          <w:color w:val="000000" w:themeColor="text1"/>
        </w:rPr>
        <w:t xml:space="preserve">. ROC curve of the TabNet classifier demonstrating strong discrimination between high-cost </w:t>
      </w:r>
    </w:p>
    <w:p w14:paraId="21F870AE" w14:textId="428B9EF1" w:rsidR="00EC7F32" w:rsidRPr="00211B68" w:rsidRDefault="0097532C" w:rsidP="005E0A83">
      <w:pPr>
        <w:bidi w:val="0"/>
        <w:spacing w:after="0" w:line="240" w:lineRule="auto"/>
        <w:ind w:left="-625"/>
        <w:jc w:val="both"/>
        <w:rPr>
          <w:rFonts w:ascii="Times New Roman" w:hAnsi="Times New Roman" w:cs="Times New Roman"/>
          <w:color w:val="000000" w:themeColor="text1"/>
          <w:sz w:val="24"/>
          <w:szCs w:val="24"/>
          <w:lang w:bidi="ar-IQ"/>
        </w:rPr>
      </w:pPr>
      <w:r w:rsidRPr="00211B68">
        <w:rPr>
          <w:color w:val="000000" w:themeColor="text1"/>
        </w:rPr>
        <w:t>and low-cost insurance cases (AUC = 0.9434).</w:t>
      </w:r>
    </w:p>
    <w:p w14:paraId="26CEB251" w14:textId="77777777" w:rsidR="005E0A83" w:rsidRPr="00211B68" w:rsidRDefault="005E0A83" w:rsidP="005E0A83">
      <w:pPr>
        <w:bidi w:val="0"/>
        <w:spacing w:after="0" w:line="240" w:lineRule="auto"/>
        <w:ind w:left="-625"/>
        <w:jc w:val="both"/>
        <w:rPr>
          <w:rFonts w:ascii="Times New Roman" w:hAnsi="Times New Roman" w:cs="Times New Roman"/>
          <w:color w:val="000000" w:themeColor="text1"/>
          <w:sz w:val="24"/>
          <w:szCs w:val="24"/>
          <w:lang w:bidi="ar-IQ"/>
        </w:rPr>
      </w:pPr>
    </w:p>
    <w:p w14:paraId="03D50246" w14:textId="77777777" w:rsidR="005E0A83" w:rsidRPr="00211B68" w:rsidRDefault="005E0A83" w:rsidP="005E0A83">
      <w:pPr>
        <w:bidi w:val="0"/>
        <w:spacing w:after="0" w:line="240" w:lineRule="auto"/>
        <w:ind w:left="-625"/>
        <w:jc w:val="both"/>
        <w:rPr>
          <w:rFonts w:ascii="Times New Roman" w:hAnsi="Times New Roman" w:cs="Times New Roman"/>
          <w:color w:val="000000" w:themeColor="text1"/>
          <w:sz w:val="24"/>
          <w:szCs w:val="24"/>
          <w:lang w:bidi="ar-IQ"/>
        </w:rPr>
      </w:pPr>
    </w:p>
    <w:p w14:paraId="3E21D45B" w14:textId="77777777" w:rsidR="00EC7F32" w:rsidRPr="00211B68" w:rsidRDefault="00EC7F32" w:rsidP="00EC7F32">
      <w:pPr>
        <w:ind w:left="-625"/>
        <w:jc w:val="center"/>
        <w:rPr>
          <w:rFonts w:ascii="Times New Roman" w:hAnsi="Times New Roman" w:cs="Times New Roman"/>
          <w:color w:val="000000" w:themeColor="text1"/>
          <w:sz w:val="24"/>
          <w:szCs w:val="24"/>
          <w:rtl/>
          <w:lang w:bidi="ar-IQ"/>
        </w:rPr>
      </w:pPr>
      <w:r w:rsidRPr="00211B68">
        <w:rPr>
          <w:noProof/>
          <w:color w:val="000000" w:themeColor="text1"/>
        </w:rPr>
        <w:drawing>
          <wp:inline distT="0" distB="0" distL="0" distR="0" wp14:anchorId="32D28315" wp14:editId="29FA0E8C">
            <wp:extent cx="2904462" cy="2478119"/>
            <wp:effectExtent l="0" t="0" r="0" b="0"/>
            <wp:docPr id="416950428"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0428" name="Picture 2" descr="A blue squares with white text&#10;&#10;AI-generated content may be incorrect."/>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916853" cy="2488691"/>
                    </a:xfrm>
                    <a:prstGeom prst="rect">
                      <a:avLst/>
                    </a:prstGeom>
                    <a:noFill/>
                    <a:ln>
                      <a:noFill/>
                    </a:ln>
                  </pic:spPr>
                </pic:pic>
              </a:graphicData>
            </a:graphic>
          </wp:inline>
        </w:drawing>
      </w:r>
    </w:p>
    <w:p w14:paraId="5C0792E7" w14:textId="1A3AA16B" w:rsidR="00EC7F32" w:rsidRPr="00211B68" w:rsidRDefault="0097532C" w:rsidP="00EC7F32">
      <w:pPr>
        <w:bidi w:val="0"/>
        <w:ind w:left="-625"/>
        <w:jc w:val="both"/>
        <w:rPr>
          <w:rFonts w:ascii="Times New Roman" w:hAnsi="Times New Roman" w:cs="Times New Roman"/>
          <w:color w:val="000000" w:themeColor="text1"/>
          <w:sz w:val="24"/>
          <w:szCs w:val="24"/>
          <w:rtl/>
          <w:lang w:bidi="ar-IQ"/>
        </w:rPr>
      </w:pPr>
      <w:r w:rsidRPr="00211B68">
        <w:rPr>
          <w:b/>
          <w:bCs/>
          <w:color w:val="000000" w:themeColor="text1"/>
        </w:rPr>
        <w:t xml:space="preserve">Figure </w:t>
      </w:r>
      <w:r w:rsidR="005E0A83" w:rsidRPr="00211B68">
        <w:rPr>
          <w:b/>
          <w:bCs/>
          <w:color w:val="000000" w:themeColor="text1"/>
        </w:rPr>
        <w:t>3</w:t>
      </w:r>
      <w:r w:rsidRPr="00211B68">
        <w:rPr>
          <w:b/>
          <w:bCs/>
          <w:color w:val="000000" w:themeColor="text1"/>
        </w:rPr>
        <w:t>.</w:t>
      </w:r>
      <w:r w:rsidRPr="00211B68">
        <w:rPr>
          <w:color w:val="000000" w:themeColor="text1"/>
        </w:rPr>
        <w:t xml:space="preserve"> Confusion matrix of the TabNet classifier showing accurate classification of low-cost and high-cost insurance cases with minimal misclassification.</w:t>
      </w:r>
    </w:p>
    <w:p w14:paraId="51973A39" w14:textId="77777777" w:rsidR="00EC7F32" w:rsidRPr="00211B68" w:rsidRDefault="00EC7F32" w:rsidP="00EC7F32">
      <w:pPr>
        <w:ind w:left="-625"/>
        <w:jc w:val="center"/>
        <w:rPr>
          <w:rFonts w:ascii="Times New Roman" w:hAnsi="Times New Roman" w:cs="Times New Roman"/>
          <w:color w:val="000000" w:themeColor="text1"/>
          <w:sz w:val="24"/>
          <w:szCs w:val="24"/>
          <w:rtl/>
          <w:lang w:bidi="ar-IQ"/>
        </w:rPr>
      </w:pPr>
      <w:r w:rsidRPr="00211B68">
        <w:rPr>
          <w:noProof/>
          <w:color w:val="000000" w:themeColor="text1"/>
        </w:rPr>
        <w:drawing>
          <wp:inline distT="0" distB="0" distL="0" distR="0" wp14:anchorId="5DEDD518" wp14:editId="2B51F552">
            <wp:extent cx="3759835" cy="2484225"/>
            <wp:effectExtent l="0" t="0" r="0" b="0"/>
            <wp:docPr id="1916888090" name="Picture 3" descr="A graph of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88090" name="Picture 3" descr="A graph of blue rectangular bars with white text&#10;&#10;AI-generated content may be incorrect."/>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761181" cy="2485114"/>
                    </a:xfrm>
                    <a:prstGeom prst="rect">
                      <a:avLst/>
                    </a:prstGeom>
                    <a:noFill/>
                    <a:ln>
                      <a:noFill/>
                    </a:ln>
                  </pic:spPr>
                </pic:pic>
              </a:graphicData>
            </a:graphic>
          </wp:inline>
        </w:drawing>
      </w:r>
    </w:p>
    <w:p w14:paraId="31A18AC7" w14:textId="77777777" w:rsidR="00EC7F32" w:rsidRPr="00211B68" w:rsidRDefault="00EC7F32" w:rsidP="00EC7F32">
      <w:pPr>
        <w:ind w:left="-625"/>
        <w:jc w:val="right"/>
        <w:rPr>
          <w:rFonts w:ascii="Times New Roman" w:hAnsi="Times New Roman" w:cs="Times New Roman"/>
          <w:color w:val="000000" w:themeColor="text1"/>
          <w:sz w:val="24"/>
          <w:szCs w:val="24"/>
          <w:rtl/>
          <w:lang w:bidi="ar-IQ"/>
        </w:rPr>
      </w:pPr>
    </w:p>
    <w:p w14:paraId="29D573C7" w14:textId="3B405B82" w:rsidR="0055241D" w:rsidRPr="00211B68" w:rsidRDefault="0097532C" w:rsidP="0029612E">
      <w:pPr>
        <w:ind w:left="-625"/>
        <w:jc w:val="right"/>
        <w:rPr>
          <w:rFonts w:ascii="Times New Roman" w:hAnsi="Times New Roman" w:cs="Times New Roman"/>
          <w:b/>
          <w:bCs/>
          <w:color w:val="000000" w:themeColor="text1"/>
          <w:sz w:val="28"/>
          <w:szCs w:val="28"/>
          <w:lang w:bidi="ar-IQ"/>
        </w:rPr>
      </w:pPr>
      <w:r w:rsidRPr="00211B68">
        <w:rPr>
          <w:b/>
          <w:bCs/>
          <w:color w:val="000000" w:themeColor="text1"/>
        </w:rPr>
        <w:t xml:space="preserve">Figure </w:t>
      </w:r>
      <w:r w:rsidR="005E0A83" w:rsidRPr="00211B68">
        <w:rPr>
          <w:b/>
          <w:bCs/>
          <w:color w:val="000000" w:themeColor="text1"/>
        </w:rPr>
        <w:t>4</w:t>
      </w:r>
      <w:r w:rsidRPr="00211B68">
        <w:rPr>
          <w:color w:val="000000" w:themeColor="text1"/>
        </w:rPr>
        <w:t>. Feature importance from the TabNet classifier, showing smoking status and age as the dominant predictors of insurance cost, followed by number of children, region, BMI, and sex.</w:t>
      </w:r>
    </w:p>
    <w:p w14:paraId="0A289612" w14:textId="77777777" w:rsidR="0055241D" w:rsidRPr="00211B68" w:rsidRDefault="0055241D" w:rsidP="0029612E">
      <w:pPr>
        <w:ind w:left="-625"/>
        <w:jc w:val="center"/>
        <w:rPr>
          <w:rFonts w:ascii="Times New Roman" w:hAnsi="Times New Roman" w:cs="Times New Roman"/>
          <w:b/>
          <w:bCs/>
          <w:color w:val="000000" w:themeColor="text1"/>
          <w:sz w:val="28"/>
          <w:szCs w:val="28"/>
        </w:rPr>
      </w:pPr>
    </w:p>
    <w:p w14:paraId="146DB33B" w14:textId="2C2F4A7F" w:rsidR="0055241D" w:rsidRPr="00211B68" w:rsidRDefault="00446D43" w:rsidP="00446D43">
      <w:pPr>
        <w:bidi w:val="0"/>
        <w:ind w:left="-625"/>
        <w:rPr>
          <w:rFonts w:ascii="Times New Roman" w:hAnsi="Times New Roman" w:cs="Times New Roman"/>
          <w:b/>
          <w:bCs/>
          <w:color w:val="000000" w:themeColor="text1"/>
          <w:sz w:val="24"/>
          <w:szCs w:val="24"/>
          <w:lang w:bidi="ar-IQ"/>
        </w:rPr>
      </w:pPr>
      <w:r w:rsidRPr="00211B68">
        <w:rPr>
          <w:rFonts w:ascii="Times New Roman" w:hAnsi="Times New Roman" w:cs="Times New Roman"/>
          <w:b/>
          <w:bCs/>
          <w:color w:val="000000" w:themeColor="text1"/>
          <w:sz w:val="24"/>
          <w:szCs w:val="24"/>
          <w:lang w:bidi="ar-IQ"/>
        </w:rPr>
        <w:t>4. Discussion</w:t>
      </w:r>
    </w:p>
    <w:p w14:paraId="666CD4AA" w14:textId="2C70B5D1" w:rsidR="005E0A83" w:rsidRPr="00211B68" w:rsidRDefault="005E0A83" w:rsidP="005E0A83">
      <w:pPr>
        <w:bidi w:val="0"/>
        <w:ind w:left="-625"/>
        <w:jc w:val="both"/>
        <w:rPr>
          <w:rFonts w:ascii="Times New Roman" w:hAnsi="Times New Roman" w:cs="Times New Roman"/>
          <w:color w:val="000000" w:themeColor="text1"/>
          <w:sz w:val="24"/>
          <w:szCs w:val="24"/>
          <w:rtl/>
          <w:lang w:bidi="ar-IQ"/>
        </w:rPr>
      </w:pPr>
      <w:r w:rsidRPr="00211B68">
        <w:rPr>
          <w:rFonts w:ascii="Times New Roman" w:hAnsi="Times New Roman" w:cs="Times New Roman"/>
          <w:color w:val="000000" w:themeColor="text1"/>
          <w:sz w:val="24"/>
          <w:szCs w:val="24"/>
          <w:lang w:bidi="ar-IQ"/>
        </w:rPr>
        <w:t xml:space="preserve">We have designed and tested a deep learning TabNet classifier to predict and support cost in an IoT-based healthcare insurance system. The experimental results show that the proposed method achieves high prediction accuracy and demonstrates the ability to handle the complex structure of insurance data, including combinations of demographic and behavioural factors. This is a critical requirement for risk assessment and premium optimisation in healthcare insurance systems, as demonstrated by our high accuracy (95.15%) and ROC-AUC value (94.34%), confirming that the model reliably distinguishes high- vs low-cost insurance cases. </w:t>
      </w:r>
    </w:p>
    <w:p w14:paraId="3A079A5E" w14:textId="77777777"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High precision (99.19%) and specificity (99.25%) were particularly noteworthy. This means our model is very accurate in reducing false positives, meaning the predicted high-cost cases are highly likely to be high-cost. For the insurance industry, this has become particularly salient, as spurious identification of high-cost cases is expected to inflate premiums or result in poor fund allocation. The recall (91.04%) indicates that the system successfully detects most true high-cost cases, thereby retaining most high-risk policyholders. The balanced F1 score (94.94%) also shows that the model performs well across classes. </w:t>
      </w:r>
    </w:p>
    <w:p w14:paraId="67BDE9F3" w14:textId="123B19B4"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These results are consistent with most true positives &amp; true negatives in the confusion matrix (low misclassification). This stability reflects the system's practical applicability to a variety of insurance cases and its consistent performance across classes. Furthermore, ROC curve analysis of our model shows that across different decision thresholds, the two classes can be easily identified, and the model maintains high sensitivity and specificity. Interpretability is the major merit of this report. The TabNet classifier allows people to interpret it. </w:t>
      </w:r>
    </w:p>
    <w:p w14:paraId="527F615B" w14:textId="77777777"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In contrast to many other traditional deep learning models, which act as ‘black boxes’, the TabNet model also applies attention-based feature selection techniques, providing some understanding of feature weights. The results show that smoking status and age are the leading predictors of insurance cost, followed by number of children, region, BMI, and sex. These results are consistent with broader literature in health economics and insurance analytics, which has shown that lifestyle and demographic factors influence insurance coverage and price. Such an alignment enhances model confidence and is therefore applicable in operational insurance frameworks.</w:t>
      </w:r>
    </w:p>
    <w:p w14:paraId="41653C43" w14:textId="6B1026CB"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 xml:space="preserve">The proposed deep learning method is superior to traditional statistical and classical machine learning methods. However, the model's regular linear features and manual feature generation make it difficult to capture non-linear correlations between variables. In comparison, the complexity of relationships can be easily learnt, and the information is also not ambiguous, even when TabNet had attention. </w:t>
      </w:r>
    </w:p>
    <w:p w14:paraId="03243FBB" w14:textId="3EB26131" w:rsidR="00211B68" w:rsidRPr="00211B68" w:rsidRDefault="00211B68" w:rsidP="005E0A83">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The hybrid nature of the developed model and its interpretability make it a perfect approach for healthcare insurance practice, where accuracy is highly effective and explainable for regulatory and stakeholder purposes. Additionally, the inclusion of our proposed predictive model in the IoT architecture underlines its materiality. Through IoT Data Collection: Health data collected via IoT will provide real-time, continuous insights into health and behaviour, enabling faster, more accurate predictions of insurance costs. Insurance service providers using IoT data streams can rely on deep learning analytics to make data-driven, proactive decisions, providing insurance with a more customised product offering and better monitoring of agent performance. Of course, while these promising results were significant, several limitations should be acknowledged.</w:t>
      </w:r>
    </w:p>
    <w:p w14:paraId="786D475D" w14:textId="1B6169CB" w:rsidR="005E0A83" w:rsidRPr="00211B68" w:rsidRDefault="005E0A83" w:rsidP="00211B68">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This study is based on a single, structured dataset and a binary classification formulation that are unable to capture the complexity of real insurance risk profiles. In future work, we can generalise this approach to multi-class or regression-based cost prediction, incorporate complementary clinical or IoT sensor data, and compare TabNet with other state-of-the-art deep learning algorithms. However, the present results show that the developed IoT-driven deep learning approach can accurately predict healthcare insurance expenditure with low overhead and ease, and can scale to large-scale use, facilitating decision-making.</w:t>
      </w:r>
    </w:p>
    <w:p w14:paraId="5FE9EE88" w14:textId="77777777" w:rsidR="005E0A83" w:rsidRPr="00211B68" w:rsidRDefault="005E0A83" w:rsidP="005E0A83">
      <w:pPr>
        <w:bidi w:val="0"/>
        <w:ind w:left="-625"/>
        <w:rPr>
          <w:rFonts w:ascii="Times New Roman" w:hAnsi="Times New Roman" w:cs="Times New Roman"/>
          <w:color w:val="000000" w:themeColor="text1"/>
          <w:sz w:val="24"/>
          <w:szCs w:val="24"/>
          <w:lang w:bidi="ar-IQ"/>
        </w:rPr>
      </w:pPr>
    </w:p>
    <w:p w14:paraId="0917E902" w14:textId="12CDDF80" w:rsidR="00446D43" w:rsidRPr="00211B68" w:rsidRDefault="00446D43" w:rsidP="00446D43">
      <w:pPr>
        <w:bidi w:val="0"/>
        <w:ind w:left="-625"/>
        <w:rPr>
          <w:rFonts w:ascii="Times New Roman" w:hAnsi="Times New Roman" w:cs="Times New Roman"/>
          <w:b/>
          <w:bCs/>
          <w:color w:val="000000" w:themeColor="text1"/>
          <w:sz w:val="24"/>
          <w:szCs w:val="24"/>
          <w:lang w:bidi="ar-IQ"/>
        </w:rPr>
      </w:pPr>
      <w:r w:rsidRPr="00211B68">
        <w:rPr>
          <w:rFonts w:ascii="Times New Roman" w:hAnsi="Times New Roman" w:cs="Times New Roman"/>
          <w:b/>
          <w:bCs/>
          <w:color w:val="000000" w:themeColor="text1"/>
          <w:sz w:val="24"/>
          <w:szCs w:val="24"/>
          <w:lang w:bidi="ar-IQ"/>
        </w:rPr>
        <w:t>5. Conclusion</w:t>
      </w:r>
    </w:p>
    <w:p w14:paraId="2ACCF868" w14:textId="063B49E5" w:rsidR="00D660F9" w:rsidRPr="00211B68" w:rsidRDefault="00211B68" w:rsidP="00D660F9">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It developed an IoT-driven healthcare insurance model based on a deep learning TabNet classifier, thereby improving insurance cost prediction and decision support. The experimental results demonstrated strong predictive and discriminative performance, alongside the classification of high- and low-cost insurance cases. With TabNet's attention-based structure, important features such as smoking status and age can be highlighted, enhancing insurance analytics through greater interpretability, trust, and transparency. The proposed system integrates deep learning with an IoT-based framework to facilitate data-driven risk assessment, optimised pricing strategies, and improved agent performance evaluation. To sum it up, our method offers a robust, scalable approach to intelligent healthcare insurance management that, when enriched with IoT data and extended to include predictive capabilities, could be further enhanced.</w:t>
      </w:r>
    </w:p>
    <w:p w14:paraId="18A2BB82" w14:textId="77777777" w:rsidR="00211B68" w:rsidRPr="00211B68" w:rsidRDefault="00211B68" w:rsidP="00211B68">
      <w:pPr>
        <w:bidi w:val="0"/>
        <w:ind w:left="-625"/>
        <w:jc w:val="both"/>
        <w:rPr>
          <w:rFonts w:ascii="Times New Roman" w:hAnsi="Times New Roman" w:cs="Times New Roman"/>
          <w:color w:val="000000" w:themeColor="text1"/>
          <w:sz w:val="24"/>
          <w:szCs w:val="24"/>
          <w:lang w:bidi="ar-IQ"/>
        </w:rPr>
      </w:pPr>
    </w:p>
    <w:p w14:paraId="5C28A0D7" w14:textId="77777777" w:rsidR="00D660F9" w:rsidRPr="00211B68" w:rsidRDefault="00D660F9" w:rsidP="00D660F9">
      <w:pPr>
        <w:bidi w:val="0"/>
        <w:ind w:left="-625"/>
        <w:jc w:val="both"/>
        <w:rPr>
          <w:rFonts w:ascii="Times New Roman" w:hAnsi="Times New Roman" w:cs="Times New Roman"/>
          <w:b/>
          <w:bCs/>
          <w:color w:val="000000" w:themeColor="text1"/>
          <w:sz w:val="24"/>
          <w:szCs w:val="24"/>
          <w:lang w:bidi="ar-IQ"/>
        </w:rPr>
      </w:pPr>
      <w:r w:rsidRPr="00211B68">
        <w:rPr>
          <w:rFonts w:ascii="Times New Roman" w:hAnsi="Times New Roman" w:cs="Times New Roman"/>
          <w:b/>
          <w:bCs/>
          <w:color w:val="000000" w:themeColor="text1"/>
          <w:sz w:val="24"/>
          <w:szCs w:val="24"/>
          <w:lang w:bidi="ar-IQ"/>
        </w:rPr>
        <w:t>References</w:t>
      </w:r>
    </w:p>
    <w:p w14:paraId="3115EA29" w14:textId="77777777" w:rsidR="00D660F9" w:rsidRPr="00211B68" w:rsidRDefault="00D660F9" w:rsidP="00D660F9">
      <w:pPr>
        <w:bidi w:val="0"/>
        <w:ind w:left="-625"/>
        <w:jc w:val="both"/>
        <w:rPr>
          <w:rFonts w:ascii="Times New Roman" w:hAnsi="Times New Roman" w:cs="Times New Roman"/>
          <w:b/>
          <w:bCs/>
          <w:color w:val="000000" w:themeColor="text1"/>
          <w:sz w:val="24"/>
          <w:szCs w:val="24"/>
          <w:lang w:bidi="ar-IQ"/>
        </w:rPr>
      </w:pPr>
      <w:r w:rsidRPr="00211B68">
        <w:rPr>
          <w:color w:val="000000" w:themeColor="text1"/>
        </w:rPr>
        <w:t xml:space="preserve">[1] </w:t>
      </w:r>
      <w:r w:rsidRPr="00211B68">
        <w:rPr>
          <w:rFonts w:ascii="Arial" w:hAnsi="Arial" w:cs="Arial"/>
          <w:color w:val="000000" w:themeColor="text1"/>
          <w:sz w:val="20"/>
          <w:szCs w:val="20"/>
          <w:shd w:val="clear" w:color="auto" w:fill="FFFFFF"/>
        </w:rPr>
        <w:t>Khan, A. A. (2024). The Intersection of Finance and Healthcare: Financing Healthcare Delivery Systems. </w:t>
      </w:r>
      <w:r w:rsidRPr="00211B68">
        <w:rPr>
          <w:i/>
          <w:iCs/>
          <w:color w:val="000000" w:themeColor="text1"/>
        </w:rPr>
        <w:t>Journal of Education and Finance Review</w:t>
      </w:r>
      <w:r w:rsidRPr="00211B68">
        <w:rPr>
          <w:color w:val="000000" w:themeColor="text1"/>
        </w:rPr>
        <w:t>, </w:t>
      </w:r>
      <w:r w:rsidRPr="00211B68">
        <w:rPr>
          <w:i/>
          <w:iCs/>
          <w:color w:val="000000" w:themeColor="text1"/>
        </w:rPr>
        <w:t>1</w:t>
      </w:r>
      <w:r w:rsidRPr="00211B68">
        <w:rPr>
          <w:color w:val="000000" w:themeColor="text1"/>
        </w:rPr>
        <w:t>(1), 22-34.</w:t>
      </w:r>
    </w:p>
    <w:p w14:paraId="44692EF7" w14:textId="3FF83BAB" w:rsidR="00D660F9" w:rsidRPr="00211B68" w:rsidRDefault="00D660F9" w:rsidP="00D660F9">
      <w:pPr>
        <w:bidi w:val="0"/>
        <w:ind w:left="-625"/>
        <w:jc w:val="both"/>
        <w:rPr>
          <w:rFonts w:ascii="Times New Roman" w:hAnsi="Times New Roman" w:cs="Times New Roman"/>
          <w:b/>
          <w:bCs/>
          <w:color w:val="000000" w:themeColor="text1"/>
          <w:sz w:val="24"/>
          <w:szCs w:val="24"/>
          <w:lang w:bidi="ar-IQ"/>
        </w:rPr>
      </w:pPr>
      <w:r w:rsidRPr="00211B68">
        <w:rPr>
          <w:rFonts w:ascii="Arial" w:hAnsi="Arial" w:cs="Arial"/>
          <w:color w:val="000000" w:themeColor="text1"/>
          <w:sz w:val="20"/>
          <w:szCs w:val="20"/>
          <w:shd w:val="clear" w:color="auto" w:fill="FFFFFF"/>
        </w:rPr>
        <w:t>[2] Srinivasagopalan, L. N. (2023). Advancing risk pooling mechanisms in healthcare coverage to strengthen system resilience and equity in modern health systems. </w:t>
      </w:r>
      <w:r w:rsidRPr="00211B68">
        <w:rPr>
          <w:i/>
          <w:iCs/>
          <w:color w:val="000000" w:themeColor="text1"/>
        </w:rPr>
        <w:t>Nanotechnology Perceptions</w:t>
      </w:r>
      <w:r w:rsidRPr="00211B68">
        <w:rPr>
          <w:color w:val="000000" w:themeColor="text1"/>
        </w:rPr>
        <w:t>, </w:t>
      </w:r>
      <w:r w:rsidRPr="00211B68">
        <w:rPr>
          <w:i/>
          <w:iCs/>
          <w:color w:val="000000" w:themeColor="text1"/>
        </w:rPr>
        <w:t>19</w:t>
      </w:r>
      <w:r w:rsidRPr="00211B68">
        <w:rPr>
          <w:color w:val="000000" w:themeColor="text1"/>
        </w:rPr>
        <w:t>(2), 70-84.</w:t>
      </w:r>
    </w:p>
    <w:p w14:paraId="123B87CF"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[3] Vardell, E., &amp; Wang, T. (2024). The information behaviour of individuals changing health insurance plans and an exploration of health insurance priorities. </w:t>
      </w:r>
      <w:r w:rsidRPr="00211B68">
        <w:rPr>
          <w:i/>
          <w:iCs/>
          <w:color w:val="000000" w:themeColor="text1"/>
        </w:rPr>
        <w:t>Journal of Information Science</w:t>
      </w:r>
      <w:r w:rsidRPr="00211B68">
        <w:rPr>
          <w:color w:val="000000" w:themeColor="text1"/>
        </w:rPr>
        <w:t>, </w:t>
      </w:r>
      <w:r w:rsidRPr="00211B68">
        <w:rPr>
          <w:i/>
          <w:iCs/>
          <w:color w:val="000000" w:themeColor="text1"/>
        </w:rPr>
        <w:t>50</w:t>
      </w:r>
      <w:r w:rsidRPr="00211B68">
        <w:rPr>
          <w:color w:val="000000" w:themeColor="text1"/>
        </w:rPr>
        <w:t>(3), 751-765.</w:t>
      </w:r>
    </w:p>
    <w:p w14:paraId="10D5CE05"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[4] Baicker, K., Congdon, W. J., &amp; Mullainathan, S. (2012). Health insurance coverage and take</w:t>
      </w:r>
      <w:r w:rsidRPr="00211B68">
        <w:rPr>
          <w:rFonts w:ascii="Cambria Math" w:hAnsi="Cambria Math" w:cs="Cambria Math"/>
          <w:color w:val="000000" w:themeColor="text1"/>
          <w:sz w:val="20"/>
          <w:szCs w:val="20"/>
          <w:shd w:val="clear" w:color="auto" w:fill="FFFFFF"/>
        </w:rPr>
        <w:t>‐</w:t>
      </w:r>
      <w:r w:rsidRPr="00211B68">
        <w:rPr>
          <w:rFonts w:ascii="Arial" w:hAnsi="Arial" w:cs="Arial"/>
          <w:color w:val="000000" w:themeColor="text1"/>
          <w:sz w:val="20"/>
          <w:szCs w:val="20"/>
          <w:shd w:val="clear" w:color="auto" w:fill="FFFFFF"/>
        </w:rPr>
        <w:t>up: Lessons from behavioral economics. </w:t>
      </w:r>
      <w:r w:rsidRPr="00211B68">
        <w:rPr>
          <w:i/>
          <w:iCs/>
          <w:color w:val="000000" w:themeColor="text1"/>
        </w:rPr>
        <w:t>The Milbank Quarterly</w:t>
      </w:r>
      <w:r w:rsidRPr="00211B68">
        <w:rPr>
          <w:color w:val="000000" w:themeColor="text1"/>
        </w:rPr>
        <w:t>, </w:t>
      </w:r>
      <w:r w:rsidRPr="00211B68">
        <w:rPr>
          <w:i/>
          <w:iCs/>
          <w:color w:val="000000" w:themeColor="text1"/>
        </w:rPr>
        <w:t>90</w:t>
      </w:r>
      <w:r w:rsidRPr="00211B68">
        <w:rPr>
          <w:color w:val="000000" w:themeColor="text1"/>
        </w:rPr>
        <w:t>(1), 107-134.</w:t>
      </w:r>
    </w:p>
    <w:p w14:paraId="754D43AB"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[5] Mohammed, M. N., Desyansah, S. F., Al-Zubaidi, S., &amp; Yusuf, E. (2020, February). An internet of things-based smart homes and healthcare monitoring and management system. In </w:t>
      </w:r>
      <w:r w:rsidRPr="00211B68">
        <w:rPr>
          <w:i/>
          <w:iCs/>
          <w:color w:val="000000" w:themeColor="text1"/>
        </w:rPr>
        <w:t>Journal of physics: conference series</w:t>
      </w:r>
      <w:r w:rsidRPr="00211B68">
        <w:rPr>
          <w:color w:val="000000" w:themeColor="text1"/>
        </w:rPr>
        <w:t> (Vol. 1450, No. 1, p. 012079). IOP Publishing.</w:t>
      </w:r>
    </w:p>
    <w:p w14:paraId="3029FD9E"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[6] Macron, T. (2023). Utilizing Artificial Intelligence to Predict Healthcare Costs: Analyzing Patterns and Enhancing Risk Assessment in Insurance Models.</w:t>
      </w:r>
    </w:p>
    <w:p w14:paraId="55F37209"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[7] Margot, V., &amp; Luta, G. (2021). A new method to compare the interpretability of rule-based algorithms. </w:t>
      </w:r>
      <w:r w:rsidRPr="00211B68">
        <w:rPr>
          <w:i/>
          <w:iCs/>
          <w:color w:val="000000" w:themeColor="text1"/>
        </w:rPr>
        <w:t>Ai</w:t>
      </w:r>
      <w:r w:rsidRPr="00211B68">
        <w:rPr>
          <w:color w:val="000000" w:themeColor="text1"/>
        </w:rPr>
        <w:t>, </w:t>
      </w:r>
      <w:r w:rsidRPr="00211B68">
        <w:rPr>
          <w:i/>
          <w:iCs/>
          <w:color w:val="000000" w:themeColor="text1"/>
        </w:rPr>
        <w:t>2</w:t>
      </w:r>
      <w:r w:rsidRPr="00211B68">
        <w:rPr>
          <w:color w:val="000000" w:themeColor="text1"/>
        </w:rPr>
        <w:t>(4), 621-635.</w:t>
      </w:r>
    </w:p>
    <w:p w14:paraId="776AA2BA" w14:textId="77777777" w:rsidR="00D660F9" w:rsidRPr="00211B68" w:rsidRDefault="00D660F9" w:rsidP="00D660F9">
      <w:pPr>
        <w:bidi w:val="0"/>
        <w:ind w:left="-567"/>
        <w:jc w:val="both"/>
        <w:rPr>
          <w:color w:val="000000" w:themeColor="text1"/>
        </w:rPr>
      </w:pPr>
      <w:r w:rsidRPr="00211B68">
        <w:rPr>
          <w:rFonts w:ascii="Arial" w:hAnsi="Arial" w:cs="Arial"/>
          <w:color w:val="000000" w:themeColor="text1"/>
          <w:sz w:val="20"/>
          <w:szCs w:val="20"/>
          <w:shd w:val="clear" w:color="auto" w:fill="FFFFFF"/>
        </w:rPr>
        <w:t>[8] Attari, V., &amp; Arroyave, R. (2025). Decoding non-linearity and complexity: Deep tabular learning approaches for materials science. </w:t>
      </w:r>
      <w:r w:rsidRPr="00211B68">
        <w:rPr>
          <w:i/>
          <w:iCs/>
          <w:color w:val="000000" w:themeColor="text1"/>
        </w:rPr>
        <w:t>Digital Discovery</w:t>
      </w:r>
      <w:r w:rsidRPr="00211B68">
        <w:rPr>
          <w:color w:val="000000" w:themeColor="text1"/>
        </w:rPr>
        <w:t>, </w:t>
      </w:r>
      <w:r w:rsidRPr="00211B68">
        <w:rPr>
          <w:i/>
          <w:iCs/>
          <w:color w:val="000000" w:themeColor="text1"/>
        </w:rPr>
        <w:t>4</w:t>
      </w:r>
      <w:r w:rsidRPr="00211B68">
        <w:rPr>
          <w:color w:val="000000" w:themeColor="text1"/>
        </w:rPr>
        <w:t>(10), 2765-2780.</w:t>
      </w:r>
    </w:p>
    <w:p w14:paraId="5A374EC0" w14:textId="53A60E79" w:rsidR="00D660F9" w:rsidRPr="00211B68" w:rsidRDefault="00D660F9" w:rsidP="00D660F9">
      <w:pPr>
        <w:bidi w:val="0"/>
        <w:ind w:left="-625"/>
        <w:jc w:val="both"/>
        <w:rPr>
          <w:rFonts w:ascii="Times New Roman" w:hAnsi="Times New Roman" w:cs="Times New Roman"/>
          <w:color w:val="000000" w:themeColor="text1"/>
          <w:sz w:val="24"/>
          <w:szCs w:val="24"/>
          <w:lang w:bidi="ar-IQ"/>
        </w:rPr>
      </w:pPr>
      <w:r w:rsidRPr="00211B68">
        <w:rPr>
          <w:rFonts w:ascii="Times New Roman" w:hAnsi="Times New Roman" w:cs="Times New Roman"/>
          <w:color w:val="000000" w:themeColor="text1"/>
          <w:sz w:val="24"/>
          <w:szCs w:val="24"/>
          <w:lang w:bidi="ar-IQ"/>
        </w:rPr>
        <w:t>***************************************************************************</w:t>
      </w:r>
    </w:p>
    <w:p w14:paraId="38386A96" w14:textId="015D60C4" w:rsidR="00854B75" w:rsidRPr="00211B68" w:rsidRDefault="00854B75" w:rsidP="0029612E">
      <w:pPr>
        <w:ind w:left="-625"/>
        <w:jc w:val="right"/>
        <w:rPr>
          <w:rFonts w:ascii="Arial" w:hAnsi="Arial" w:cs="Arial"/>
          <w:b/>
          <w:bCs/>
          <w:color w:val="000000" w:themeColor="text1"/>
          <w:sz w:val="24"/>
          <w:szCs w:val="24"/>
          <w:shd w:val="clear" w:color="auto" w:fill="FFFFFF"/>
          <w:rtl/>
          <w:lang w:bidi="ar-IQ"/>
        </w:rPr>
      </w:pPr>
    </w:p>
    <w:p w14:paraId="5A125178" w14:textId="4D1E844F" w:rsidR="0005190C" w:rsidRPr="00211B68" w:rsidRDefault="0005190C" w:rsidP="0029612E">
      <w:pPr>
        <w:shd w:val="clear" w:color="auto" w:fill="FFFFFF"/>
        <w:bidi w:val="0"/>
        <w:spacing w:line="255" w:lineRule="atLeast"/>
        <w:ind w:left="-625"/>
        <w:rPr>
          <w:rFonts w:ascii="Arial" w:hAnsi="Arial" w:cs="Arial"/>
          <w:b/>
          <w:bCs/>
          <w:color w:val="000000" w:themeColor="text1"/>
          <w:sz w:val="24"/>
          <w:szCs w:val="24"/>
          <w:shd w:val="clear" w:color="auto" w:fill="FFFFFF"/>
        </w:rPr>
      </w:pPr>
      <w:r w:rsidRPr="00211B68">
        <w:rPr>
          <w:rFonts w:ascii="Arial" w:hAnsi="Arial" w:cs="Arial"/>
          <w:b/>
          <w:bCs/>
          <w:color w:val="000000" w:themeColor="text1"/>
          <w:sz w:val="24"/>
          <w:szCs w:val="24"/>
          <w:shd w:val="clear" w:color="auto" w:fill="FFFFFF"/>
        </w:rPr>
        <w:t xml:space="preserve">The </w:t>
      </w:r>
      <w:r w:rsidR="00854B75" w:rsidRPr="00211B68">
        <w:rPr>
          <w:rFonts w:ascii="Arial" w:hAnsi="Arial" w:cs="Arial"/>
          <w:b/>
          <w:bCs/>
          <w:color w:val="000000" w:themeColor="text1"/>
          <w:sz w:val="24"/>
          <w:szCs w:val="24"/>
          <w:shd w:val="clear" w:color="auto" w:fill="FFFFFF"/>
        </w:rPr>
        <w:t>Cod</w:t>
      </w:r>
      <w:r w:rsidRPr="00211B68">
        <w:rPr>
          <w:rFonts w:ascii="Arial" w:hAnsi="Arial" w:cs="Arial"/>
          <w:b/>
          <w:bCs/>
          <w:color w:val="000000" w:themeColor="text1"/>
          <w:sz w:val="24"/>
          <w:szCs w:val="24"/>
          <w:shd w:val="clear" w:color="auto" w:fill="FFFFFF"/>
        </w:rPr>
        <w:t>e of the Project</w:t>
      </w:r>
      <w:r w:rsidR="00854B75" w:rsidRPr="00211B68">
        <w:rPr>
          <w:rFonts w:ascii="Arial" w:hAnsi="Arial" w:cs="Arial"/>
          <w:b/>
          <w:bCs/>
          <w:color w:val="000000" w:themeColor="text1"/>
          <w:sz w:val="24"/>
          <w:szCs w:val="24"/>
          <w:shd w:val="clear" w:color="auto" w:fill="FFFFFF"/>
        </w:rPr>
        <w:t>:</w:t>
      </w:r>
    </w:p>
    <w:p w14:paraId="58173A01" w14:textId="7655F12D" w:rsidR="00854B75" w:rsidRPr="00211B68" w:rsidRDefault="00854B75" w:rsidP="0005190C">
      <w:pPr>
        <w:shd w:val="clear" w:color="auto" w:fill="FFFFFF"/>
        <w:bidi w:val="0"/>
        <w:spacing w:line="255" w:lineRule="atLeast"/>
        <w:ind w:left="-625"/>
        <w:rPr>
          <w:rFonts w:ascii="Courier New" w:eastAsia="Times New Roman" w:hAnsi="Courier New" w:cs="Courier New"/>
          <w:color w:val="000000" w:themeColor="text1"/>
          <w:kern w:val="0"/>
          <w:sz w:val="18"/>
          <w:szCs w:val="18"/>
          <w14:ligatures w14:val="none"/>
        </w:rPr>
      </w:pPr>
      <w:r w:rsidRPr="00211B68">
        <w:rPr>
          <w:rFonts w:ascii="Arial" w:hAnsi="Arial" w:cs="Arial"/>
          <w:color w:val="000000" w:themeColor="text1"/>
          <w:sz w:val="21"/>
          <w:szCs w:val="21"/>
          <w:shd w:val="clear" w:color="auto" w:fill="FFFFFF"/>
        </w:rPr>
        <w:t xml:space="preserve"> </w:t>
      </w:r>
      <w:r w:rsidRPr="00211B68">
        <w:rPr>
          <w:rFonts w:ascii="Courier New" w:eastAsia="Times New Roman" w:hAnsi="Courier New" w:cs="Courier New"/>
          <w:color w:val="000000" w:themeColor="text1"/>
          <w:kern w:val="0"/>
          <w:sz w:val="18"/>
          <w:szCs w:val="18"/>
          <w14:ligatures w14:val="none"/>
        </w:rPr>
        <w:t># Bulletproof TabNet with plots</w:t>
      </w:r>
    </w:p>
    <w:p w14:paraId="0E190CD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pandas as pd</w:t>
      </w:r>
    </w:p>
    <w:p w14:paraId="720D2FD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numpy as np</w:t>
      </w:r>
    </w:p>
    <w:p w14:paraId="7EF2739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matplotlib.pyplot as plt</w:t>
      </w:r>
    </w:p>
    <w:p w14:paraId="3648A81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seaborn as sns</w:t>
      </w:r>
    </w:p>
    <w:p w14:paraId="1C65648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from sklearn.preprocessing import LabelEncoder, StandardScaler</w:t>
      </w:r>
    </w:p>
    <w:p w14:paraId="78CE77A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from sklearn.model_selection import train_test_split</w:t>
      </w:r>
    </w:p>
    <w:p w14:paraId="23D0BE4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from sklearn.metrics import (</w:t>
      </w:r>
    </w:p>
    <w:p w14:paraId="1A213CD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accuracy_score, precision_score, recall_score, f1_score,</w:t>
      </w:r>
    </w:p>
    <w:p w14:paraId="08286FD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confusion_matrix, roc_curve, auc, classification_report</w:t>
      </w:r>
    </w:p>
    <w:p w14:paraId="125702C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2F12D3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from pytorch_tabnet.tab_model import TabNetClassifier</w:t>
      </w:r>
    </w:p>
    <w:p w14:paraId="00359C1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from google.colab import drive</w:t>
      </w:r>
    </w:p>
    <w:p w14:paraId="23B2DAB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os</w:t>
      </w:r>
    </w:p>
    <w:p w14:paraId="1F7D00E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import torch</w:t>
      </w:r>
    </w:p>
    <w:p w14:paraId="1997CF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01320B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8DAAD00" w14:textId="7266114D"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1. Mount Google Drive</w:t>
      </w:r>
    </w:p>
    <w:p w14:paraId="682BAC8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6E873EA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try:</w:t>
      </w:r>
    </w:p>
    <w:p w14:paraId="557AF3D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drive.mount('/content/drive')</w:t>
      </w:r>
    </w:p>
    <w:p w14:paraId="68EA60D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except:</w:t>
      </w:r>
    </w:p>
    <w:p w14:paraId="0292061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print("Google Drive already mounted.")</w:t>
      </w:r>
    </w:p>
    <w:p w14:paraId="3700DFC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796727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1B262E0" w14:textId="7E6B3891"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2. Load Dataset</w:t>
      </w:r>
    </w:p>
    <w:p w14:paraId="5387F9D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287F45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DATA_PATH = "/content/drive/MyDrive/insurance.csv"</w:t>
      </w:r>
    </w:p>
    <w:p w14:paraId="54B460A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6EDAED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if not os.path.exists(DATA_PATH):</w:t>
      </w:r>
    </w:p>
    <w:p w14:paraId="0759D18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raise FileNotFoundError(f"Dataset not found: {DATA_PATH}")</w:t>
      </w:r>
    </w:p>
    <w:p w14:paraId="1BC7732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4D99232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df = pd.read_csv(DATA_PATH)</w:t>
      </w:r>
    </w:p>
    <w:p w14:paraId="06E5E79C" w14:textId="29D93325"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 Loaded  {df.shape}")</w:t>
      </w:r>
    </w:p>
    <w:p w14:paraId="1A7F52B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rtl/>
          <w14:ligatures w14:val="none"/>
        </w:rPr>
      </w:pPr>
    </w:p>
    <w:p w14:paraId="404D451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rtl/>
          <w14:ligatures w14:val="none"/>
        </w:rPr>
      </w:pPr>
    </w:p>
    <w:p w14:paraId="51BD2045" w14:textId="6E474C76"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5F8BCA76" w14:textId="0ADDEA1E"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3. Create Binary Target</w:t>
      </w:r>
    </w:p>
    <w:p w14:paraId="10E2F11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6D47486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median_charge = df['charges'].median()</w:t>
      </w:r>
    </w:p>
    <w:p w14:paraId="62B29EB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df['high_cost'] = (df['charges'] &gt; median_charge).astype(int)</w:t>
      </w:r>
    </w:p>
    <w:p w14:paraId="797EDA84" w14:textId="6288816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print(f"\n Target distribution:")</w:t>
      </w:r>
    </w:p>
    <w:p w14:paraId="1292019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print(f"Low cost: {np.sum(df['high_cost'] == 0)}")</w:t>
      </w:r>
    </w:p>
    <w:p w14:paraId="0653358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print(f"High cost: {np.sum(df['high_cost'] == 1)}")</w:t>
      </w:r>
    </w:p>
    <w:p w14:paraId="413A313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07E363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34F38B4B" w14:textId="30A0E649"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4. Prepare Features</w:t>
      </w:r>
    </w:p>
    <w:p w14:paraId="7E337A8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17EFCB4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feature_columns = ['age', 'sex', 'bmi', 'children', 'smoker', 'region']</w:t>
      </w:r>
    </w:p>
    <w:p w14:paraId="65556A8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categorical_features = ['sex', 'smoker', 'region']</w:t>
      </w:r>
    </w:p>
    <w:p w14:paraId="18E4CF2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numerical_features = ['age', 'bmi', 'children']</w:t>
      </w:r>
    </w:p>
    <w:p w14:paraId="1CEBECA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1E2823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X = df[feature_columns].copy()</w:t>
      </w:r>
    </w:p>
    <w:p w14:paraId="09AA064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y = df['high_cost'].values</w:t>
      </w:r>
    </w:p>
    <w:p w14:paraId="5AC0395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1B63E2F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Encode categoricals</w:t>
      </w:r>
    </w:p>
    <w:p w14:paraId="6207185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categorical_dims = []</w:t>
      </w:r>
    </w:p>
    <w:p w14:paraId="453C953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for col in categorical_features:</w:t>
      </w:r>
    </w:p>
    <w:p w14:paraId="40347AB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le = LabelEncoder()</w:t>
      </w:r>
    </w:p>
    <w:p w14:paraId="38550A1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X[col] = le.fit_transform(X[col].astype(str))</w:t>
      </w:r>
    </w:p>
    <w:p w14:paraId="316FCF2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categorical_dims.append(len(le.classes_))</w:t>
      </w:r>
    </w:p>
    <w:p w14:paraId="296A954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8EDD8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57AAB9C7" w14:textId="4FBB5901"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5. Split and Scale</w:t>
      </w:r>
    </w:p>
    <w:p w14:paraId="4BA5ECF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3780D29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X_train, X_test, y_train, y_test = train_test_split(</w:t>
      </w:r>
    </w:p>
    <w:p w14:paraId="641BC54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X.values, y, test_size=0.2, random_state=42, stratify=y</w:t>
      </w:r>
    </w:p>
    <w:p w14:paraId="186CB14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1CDAB5C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D7BA4B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scaler = StandardScaler()</w:t>
      </w:r>
    </w:p>
    <w:p w14:paraId="5B6A3CF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X_train_scaled = X_train.astype(np.float32)</w:t>
      </w:r>
    </w:p>
    <w:p w14:paraId="15B1DD0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X_test_scaled = X_test.astype(np.float32)</w:t>
      </w:r>
    </w:p>
    <w:p w14:paraId="6379DED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5567A56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num_indices = [i for i, f in enumerate(feature_columns) if f in numerical_features]</w:t>
      </w:r>
    </w:p>
    <w:p w14:paraId="0440D6C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X_train_scaled[:, num_indices] = scaler.fit_transform(X_train[:, num_indices])</w:t>
      </w:r>
    </w:p>
    <w:p w14:paraId="467B736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X_test_scaled[:, num_indices] = scaler.transform(X_test[:, num_indices])</w:t>
      </w:r>
    </w:p>
    <w:p w14:paraId="0906B5E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617CE19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0EE8328F" w14:textId="2EE50552"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6. Train TabNet</w:t>
      </w:r>
    </w:p>
    <w:p w14:paraId="7CE8485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762C8B92" w14:textId="37982321"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print("\n Training TabNet Classifier...")</w:t>
      </w:r>
    </w:p>
    <w:p w14:paraId="25F3490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144E45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Class weights</w:t>
      </w:r>
    </w:p>
    <w:p w14:paraId="4AF9895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_, counts = np.unique(y_train, return_counts=True)</w:t>
      </w:r>
    </w:p>
    <w:p w14:paraId="6215D7D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class_weights = len(y_train) / (len(np.unique(y_train)) * counts)</w:t>
      </w:r>
    </w:p>
    <w:p w14:paraId="7B06629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weight_map = {i: float(w) for i, w in enumerate(class_weights)}</w:t>
      </w:r>
    </w:p>
    <w:p w14:paraId="3F0134F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C5AAAB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clf = TabNetClassifier(</w:t>
      </w:r>
    </w:p>
    <w:p w14:paraId="2D553D4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n_d=32, n_a=32, n_steps=3,</w:t>
      </w:r>
    </w:p>
    <w:p w14:paraId="3A1B8E4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gamma=1.3, n_independent=2, n_shared=2,</w:t>
      </w:r>
    </w:p>
    <w:p w14:paraId="4E2D0A7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momentum=0.02, lambda_sparse=1e-3,</w:t>
      </w:r>
    </w:p>
    <w:p w14:paraId="30F7293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optimizer_fn=torch.optim.Adam,</w:t>
      </w:r>
    </w:p>
    <w:p w14:paraId="14F4B60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optimizer_params={"lr": 2e-2},</w:t>
      </w:r>
    </w:p>
    <w:p w14:paraId="0AF7702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scheduler_fn=torch.optim.lr_scheduler.StepLR,</w:t>
      </w:r>
    </w:p>
    <w:p w14:paraId="5197351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scheduler_params={"step_size": 10, "gamma": 0.9},</w:t>
      </w:r>
    </w:p>
    <w:p w14:paraId="30DC2C1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mask_type="sparsemax",</w:t>
      </w:r>
    </w:p>
    <w:p w14:paraId="0994307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device_name="auto",</w:t>
      </w:r>
    </w:p>
    <w:p w14:paraId="151340D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seed=42</w:t>
      </w:r>
    </w:p>
    <w:p w14:paraId="1EAB06C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2230644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584AD8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clf.fit(</w:t>
      </w:r>
    </w:p>
    <w:p w14:paraId="3E02A9F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X_train=X_train_scaled,</w:t>
      </w:r>
    </w:p>
    <w:p w14:paraId="073EC42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y_train=y_train,</w:t>
      </w:r>
    </w:p>
    <w:p w14:paraId="0DF866E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eval_set=[(X_train_scaled, y_train), (X_test_scaled, y_test)],</w:t>
      </w:r>
    </w:p>
    <w:p w14:paraId="0D8FCDF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eval_name=['train', 'test'],</w:t>
      </w:r>
    </w:p>
    <w:p w14:paraId="60DD126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eval_metric=['logloss', 'accuracy'],</w:t>
      </w:r>
    </w:p>
    <w:p w14:paraId="1C17266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max_epochs=100,</w:t>
      </w:r>
    </w:p>
    <w:p w14:paraId="3F28E7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patience=20,</w:t>
      </w:r>
    </w:p>
    <w:p w14:paraId="1F32E3F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batch_size=256,</w:t>
      </w:r>
    </w:p>
    <w:p w14:paraId="7E5F281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virtual_batch_size=128,</w:t>
      </w:r>
    </w:p>
    <w:p w14:paraId="23927D4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weights=weight_map,</w:t>
      </w:r>
    </w:p>
    <w:p w14:paraId="45DE0FF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drop_last=False</w:t>
      </w:r>
    </w:p>
    <w:p w14:paraId="7316A55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46D28A3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160D716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1CC4DF01" w14:textId="3D4D1DF0"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7. BULLETPROOF HISTORY EXTRACTION</w:t>
      </w:r>
    </w:p>
    <w:p w14:paraId="47ABE7A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8E1E32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def extract_history_safe(clf):</w:t>
      </w:r>
    </w:p>
    <w:p w14:paraId="7CD43CE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"""Works with ANY TabNet version"""</w:t>
      </w:r>
    </w:p>
    <w:p w14:paraId="7532A0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try:</w:t>
      </w:r>
    </w:p>
    <w:p w14:paraId="3257405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 Try to get history length from loss</w:t>
      </w:r>
    </w:p>
    <w:p w14:paraId="584CEEA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if hasattr(clf, 'history') and hasattr(clf.history, '__getitem__'):</w:t>
      </w:r>
    </w:p>
    <w:p w14:paraId="1A6C3F5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try:</w:t>
      </w:r>
    </w:p>
    <w:p w14:paraId="45C752D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n_epochs = len(clf.history['loss'])</w:t>
      </w:r>
    </w:p>
    <w:p w14:paraId="0AC2A2B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except:</w:t>
      </w:r>
    </w:p>
    <w:p w14:paraId="67E9AD7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n_epochs = 50</w:t>
      </w:r>
    </w:p>
    <w:p w14:paraId="0AB147D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else:</w:t>
      </w:r>
    </w:p>
    <w:p w14:paraId="4E1CC14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n_epochs = 50</w:t>
      </w:r>
    </w:p>
    <w:p w14:paraId="402F2B3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6C99AAD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 Create dummy history (we'll use evaluation metrics instead)</w:t>
      </w:r>
    </w:p>
    <w:p w14:paraId="5E3B7CA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return ([0.8]*n_epochs, [0.8]*n_epochs, [0.5]*n_epochs, [0.5]*n_epochs)</w:t>
      </w:r>
    </w:p>
    <w:p w14:paraId="2B29F36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except:</w:t>
      </w:r>
    </w:p>
    <w:p w14:paraId="036B7D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return ([0.8]*50, [0.8]*50, [0.5]*50, [0.5]*50)</w:t>
      </w:r>
    </w:p>
    <w:p w14:paraId="4DA746E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25573CC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train_acc, test_acc, train_loss, test_loss = extract_history_safe(clf)</w:t>
      </w:r>
    </w:p>
    <w:p w14:paraId="1EC418C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63F76CB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613CF27" w14:textId="51D6ECF4"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8. Evaluate</w:t>
      </w:r>
    </w:p>
    <w:p w14:paraId="60FED6F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2B8AC79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y_pred = clf.predict(X_test_scaled)</w:t>
      </w:r>
    </w:p>
    <w:p w14:paraId="06177BE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y_pred_prob = clf.predict_proba(X_test_scaled)[:, 1]</w:t>
      </w:r>
    </w:p>
    <w:p w14:paraId="4DF8AEB9"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5853C15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accuracy = accuracy_score(y_test, y_pred)</w:t>
      </w:r>
    </w:p>
    <w:p w14:paraId="202C905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precision = precision_score(y_test, y_pred)</w:t>
      </w:r>
    </w:p>
    <w:p w14:paraId="68AAA88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recall = recall_score(y_test, y_pred)</w:t>
      </w:r>
    </w:p>
    <w:p w14:paraId="761143F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f1 = f1_score(y_test, y_pred)</w:t>
      </w:r>
    </w:p>
    <w:p w14:paraId="0F689E7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tn, fp, fn, tp = confusion_matrix(y_test, y_pred).ravel()</w:t>
      </w:r>
    </w:p>
    <w:p w14:paraId="3B94F9C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specificity = tn / (tn + fp)</w:t>
      </w:r>
    </w:p>
    <w:p w14:paraId="5D3E1A8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roc_auc = auc(*roc_curve(y_test, y_pred_prob)[:2])</w:t>
      </w:r>
    </w:p>
    <w:p w14:paraId="328BCC5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829DFC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print("\n" + "="*50)</w:t>
      </w:r>
    </w:p>
    <w:p w14:paraId="397B5A9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    TABNET CLASSIFIER RESULTS")</w:t>
      </w:r>
    </w:p>
    <w:p w14:paraId="4C4E552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print("="*50)</w:t>
      </w:r>
    </w:p>
    <w:p w14:paraId="74248E6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print(f"Accuracy:    {accuracy:.4f}")</w:t>
      </w:r>
    </w:p>
    <w:p w14:paraId="3978073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print(f"Precision:   {precision:.4f}")</w:t>
      </w:r>
    </w:p>
    <w:p w14:paraId="4CB8D3B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print(f"Recall:      {recall:.4f}")</w:t>
      </w:r>
    </w:p>
    <w:p w14:paraId="699F096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print(f"Specificity: {specificity:.4f}")</w:t>
      </w:r>
    </w:p>
    <w:p w14:paraId="153923F7"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print(f"F1-Score:    {f1:.4f}")</w:t>
      </w:r>
    </w:p>
    <w:p w14:paraId="4C25894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print(f"ROC-AUC:     {roc_auc:.4f}")</w:t>
      </w:r>
    </w:p>
    <w:p w14:paraId="570F6A3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print("="*50)</w:t>
      </w:r>
    </w:p>
    <w:p w14:paraId="056B880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94DE3D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0C2A4F2E" w14:textId="658F9F16"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14:ligatures w14:val="none"/>
        </w:rPr>
      </w:pPr>
      <w:r w:rsidRPr="00211B68">
        <w:rPr>
          <w:rFonts w:ascii="Courier New" w:eastAsia="Times New Roman" w:hAnsi="Courier New" w:cs="Courier New"/>
          <w:b/>
          <w:bCs/>
          <w:color w:val="000000" w:themeColor="text1"/>
          <w:kern w:val="0"/>
          <w14:ligatures w14:val="none"/>
        </w:rPr>
        <w:t xml:space="preserve">9. PLOTS </w:t>
      </w:r>
    </w:p>
    <w:p w14:paraId="4E2C414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w:t>
      </w:r>
    </w:p>
    <w:p w14:paraId="12D1D32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plt.rcParams.update({'font.size': 12})</w:t>
      </w:r>
    </w:p>
    <w:p w14:paraId="169F6BF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7CFED8C5" w14:textId="50B2B646"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ml:space="preserve"># ROC Curve </w:t>
      </w:r>
    </w:p>
    <w:p w14:paraId="57CEF42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fpr, tpr, _ = roc_curve(y_test, y_pred_prob)</w:t>
      </w:r>
    </w:p>
    <w:p w14:paraId="397A50D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plt.figure(figsize=(7, 6))</w:t>
      </w:r>
    </w:p>
    <w:p w14:paraId="247D2B6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plt.plot(fpr, tpr, color='darkorange', lw=2, label=f'ROC Curve (AUC = {roc_auc:.4f})')</w:t>
      </w:r>
    </w:p>
    <w:p w14:paraId="70F76862"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plt.plot([0, 1], [0, 1], color='navy', lw=2, linestyle='--')</w:t>
      </w:r>
    </w:p>
    <w:p w14:paraId="5E6C6080"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plt.xlim([0.0, 1.0])</w:t>
      </w:r>
    </w:p>
    <w:p w14:paraId="7EBEF3B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plt.ylim([0.0, 1.05])</w:t>
      </w:r>
    </w:p>
    <w:p w14:paraId="7E990F9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plt.xlabel('False Positive Rate')</w:t>
      </w:r>
    </w:p>
    <w:p w14:paraId="50F913B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plt.ylabel('True Positive Rate')</w:t>
      </w:r>
    </w:p>
    <w:p w14:paraId="7E761BE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plt.title('Receiver Operating Characteristic (ROC)')</w:t>
      </w:r>
    </w:p>
    <w:p w14:paraId="141A927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plt.legend(loc="lower right")</w:t>
      </w:r>
    </w:p>
    <w:p w14:paraId="5A71B5C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plt.grid(True)</w:t>
      </w:r>
    </w:p>
    <w:p w14:paraId="57573EE6"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plt.tight_layout()</w:t>
      </w:r>
    </w:p>
    <w:p w14:paraId="4914F2D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plt.savefig("/content/drive/MyDrive/tabnet_roc.png", dpi=150, bbox_inches='tight')</w:t>
      </w:r>
    </w:p>
    <w:p w14:paraId="43B4200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plt.show()</w:t>
      </w:r>
    </w:p>
    <w:p w14:paraId="703DA02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073602CA" w14:textId="73078CA5"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14:ligatures w14:val="none"/>
        </w:rPr>
      </w:pPr>
      <w:r w:rsidRPr="00211B68">
        <w:rPr>
          <w:rFonts w:ascii="Courier New" w:eastAsia="Times New Roman" w:hAnsi="Courier New" w:cs="Courier New"/>
          <w:color w:val="000000" w:themeColor="text1"/>
          <w:kern w:val="0"/>
          <w14:ligatures w14:val="none"/>
        </w:rPr>
        <w:t xml:space="preserve"># Confusion Matrix </w:t>
      </w:r>
    </w:p>
    <w:p w14:paraId="3E15B45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plt.figure(figsize=(6, 5))</w:t>
      </w:r>
    </w:p>
    <w:p w14:paraId="61B4F10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sns.heatmap(</w:t>
      </w:r>
    </w:p>
    <w:p w14:paraId="758EAD6B"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confusion_matrix(y_test, y_pred),</w:t>
      </w:r>
    </w:p>
    <w:p w14:paraId="7D9FDDF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annot=True, fmt='d', cmap='Blues',</w:t>
      </w:r>
    </w:p>
    <w:p w14:paraId="7912ABAF"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xticklabels=['Low Cost', 'High Cost'],</w:t>
      </w:r>
    </w:p>
    <w:p w14:paraId="5C5154E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    yticklabels=['Low Cost', 'High Cost']</w:t>
      </w:r>
    </w:p>
    <w:p w14:paraId="373222C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w:t>
      </w:r>
    </w:p>
    <w:p w14:paraId="196C89A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plt.title('Confusion Matrix')</w:t>
      </w:r>
    </w:p>
    <w:p w14:paraId="73EA8ED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plt.xlabel('Predicted Label')</w:t>
      </w:r>
    </w:p>
    <w:p w14:paraId="08766B2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plt.ylabel('True Label')</w:t>
      </w:r>
    </w:p>
    <w:p w14:paraId="41FA897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plt.tight_layout()</w:t>
      </w:r>
    </w:p>
    <w:p w14:paraId="43789E8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plt.savefig("/content/drive/MyDrive/tabnet_confusion_matrix.png", dpi=150, bbox_inches='tight')</w:t>
      </w:r>
    </w:p>
    <w:p w14:paraId="05677EE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plt.show()</w:t>
      </w:r>
    </w:p>
    <w:p w14:paraId="6E7B8103"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131132E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14:ligatures w14:val="none"/>
        </w:rPr>
      </w:pPr>
      <w:r w:rsidRPr="00211B68">
        <w:rPr>
          <w:rFonts w:ascii="Courier New" w:eastAsia="Times New Roman" w:hAnsi="Courier New" w:cs="Courier New"/>
          <w:color w:val="000000" w:themeColor="text1"/>
          <w:kern w:val="0"/>
          <w14:ligatures w14:val="none"/>
        </w:rPr>
        <w:t># Feature Importance (ALWAYS works)</w:t>
      </w:r>
    </w:p>
    <w:p w14:paraId="15DB51B1"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feature_importance = clf.feature_importances_</w:t>
      </w:r>
    </w:p>
    <w:p w14:paraId="19D9B17E"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sorted_idx = np.argsort(feature_importance)[::-1]</w:t>
      </w:r>
    </w:p>
    <w:p w14:paraId="4F7AFF78"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CA7907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plt.figure(figsize=(9, 6))</w:t>
      </w:r>
    </w:p>
    <w:p w14:paraId="035EC27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plt.title("TabNet Feature Importance")</w:t>
      </w:r>
    </w:p>
    <w:p w14:paraId="6557D5E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plt.bar(range(len(feature_importance)), feature_importance[sorted_idx], align="center")</w:t>
      </w:r>
    </w:p>
    <w:p w14:paraId="75B6DEDA"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plt.xticks(range(len(feature_importance)), [feature_columns[i] for i in sorted_idx], rotation=45, ha='right')</w:t>
      </w:r>
    </w:p>
    <w:p w14:paraId="039057C5"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plt.tight_layout()</w:t>
      </w:r>
    </w:p>
    <w:p w14:paraId="5383DCB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plt.savefig("/content/drive/MyDrive/tabnet_feature_importance.png", dpi=150, bbox_inches='tight')</w:t>
      </w:r>
    </w:p>
    <w:p w14:paraId="04B7ECAC"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plt.show()</w:t>
      </w:r>
    </w:p>
    <w:p w14:paraId="1EFF23D4"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D0E4F56" w14:textId="46C80910"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print("\nROC curve, confusion matrix, and feature importance saved to Google Drive!")</w:t>
      </w:r>
    </w:p>
    <w:p w14:paraId="69066F7B" w14:textId="290ECB40"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 Note: Training accuracy/loss curves unavailable due to TabNet version differences")</w:t>
      </w:r>
    </w:p>
    <w:p w14:paraId="36EFA856" w14:textId="031072BF"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r w:rsidRPr="00211B68">
        <w:rPr>
          <w:rFonts w:ascii="Courier New" w:eastAsia="Times New Roman" w:hAnsi="Courier New" w:cs="Courier New"/>
          <w:color w:val="000000" w:themeColor="text1"/>
          <w:kern w:val="0"/>
          <w:sz w:val="18"/>
          <w:szCs w:val="18"/>
          <w14:ligatures w14:val="none"/>
        </w:rPr>
        <w:t>print(f" Your model achieved {accuracy:.4f} accuracy with {roc_auc:.4f} AUC!")</w:t>
      </w:r>
    </w:p>
    <w:p w14:paraId="03B07CB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color w:val="000000" w:themeColor="text1"/>
          <w:kern w:val="0"/>
          <w:sz w:val="18"/>
          <w:szCs w:val="18"/>
          <w14:ligatures w14:val="none"/>
        </w:rPr>
      </w:pPr>
    </w:p>
    <w:p w14:paraId="394F470D" w14:textId="77777777" w:rsidR="00854B75" w:rsidRPr="00211B68" w:rsidRDefault="00854B75" w:rsidP="0029612E">
      <w:pPr>
        <w:shd w:val="clear" w:color="auto" w:fill="FFFFFF"/>
        <w:bidi w:val="0"/>
        <w:spacing w:after="0" w:line="255" w:lineRule="atLeast"/>
        <w:ind w:left="-625"/>
        <w:rPr>
          <w:rFonts w:ascii="Courier New" w:eastAsia="Times New Roman" w:hAnsi="Courier New" w:cs="Courier New"/>
          <w:b/>
          <w:bCs/>
          <w:color w:val="000000" w:themeColor="text1"/>
          <w:kern w:val="0"/>
          <w:sz w:val="20"/>
          <w:szCs w:val="20"/>
          <w14:ligatures w14:val="none"/>
        </w:rPr>
      </w:pPr>
    </w:p>
    <w:sectPr w:rsidR="00854B75" w:rsidRPr="00211B68" w:rsidSect="005E0A83">
      <w:headerReference w:type="even" r:id="rId13"/>
      <w:headerReference w:type="default" r:id="rId14"/>
      <w:footerReference w:type="even" r:id="rId15"/>
      <w:footerReference w:type="default" r:id="rId16"/>
      <w:headerReference w:type="first" r:id="rId17"/>
      <w:footerReference w:type="first" r:id="rId18"/>
      <w:pgSz w:w="11906" w:h="16838"/>
      <w:pgMar w:top="1378" w:right="1133" w:bottom="1678" w:left="1843" w:header="708" w:footer="708"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6567D1" w14:textId="77777777" w:rsidR="00891BB6" w:rsidRDefault="00891BB6" w:rsidP="0098228E">
      <w:pPr>
        <w:spacing w:after="0" w:line="240" w:lineRule="auto"/>
      </w:pPr>
      <w:r>
        <w:separator/>
      </w:r>
    </w:p>
  </w:endnote>
  <w:endnote w:type="continuationSeparator" w:id="0">
    <w:p w14:paraId="12F61DC0" w14:textId="77777777" w:rsidR="00891BB6" w:rsidRDefault="00891BB6" w:rsidP="00982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E3E93" w14:textId="77777777" w:rsidR="0098228E" w:rsidRDefault="00982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822459117"/>
      <w:docPartObj>
        <w:docPartGallery w:val="Page Numbers (Bottom of Page)"/>
        <w:docPartUnique/>
      </w:docPartObj>
    </w:sdtPr>
    <w:sdtEndPr>
      <w:rPr>
        <w:noProof/>
      </w:rPr>
    </w:sdtEndPr>
    <w:sdtContent>
      <w:p w14:paraId="03B422E4" w14:textId="4DB5C541" w:rsidR="0098228E" w:rsidRDefault="0098228E">
        <w:pPr>
          <w:pStyle w:val="Footer"/>
          <w:jc w:val="center"/>
        </w:pPr>
        <w:r>
          <w:fldChar w:fldCharType="begin"/>
        </w:r>
        <w:r>
          <w:instrText xml:space="preserve"> PAGE   \* MERGEFORMAT </w:instrText>
        </w:r>
        <w:r>
          <w:fldChar w:fldCharType="separate"/>
        </w:r>
        <w:r w:rsidR="0057085F">
          <w:rPr>
            <w:noProof/>
            <w:rtl/>
          </w:rPr>
          <w:t>10</w:t>
        </w:r>
        <w:r>
          <w:rPr>
            <w:noProof/>
          </w:rPr>
          <w:fldChar w:fldCharType="end"/>
        </w:r>
      </w:p>
    </w:sdtContent>
  </w:sdt>
  <w:p w14:paraId="3E40FD4F" w14:textId="77777777" w:rsidR="0098228E" w:rsidRDefault="009822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B96068" w14:textId="77777777" w:rsidR="0098228E" w:rsidRDefault="00982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5C0D7" w14:textId="77777777" w:rsidR="00891BB6" w:rsidRDefault="00891BB6" w:rsidP="0098228E">
      <w:pPr>
        <w:spacing w:after="0" w:line="240" w:lineRule="auto"/>
      </w:pPr>
      <w:r>
        <w:separator/>
      </w:r>
    </w:p>
  </w:footnote>
  <w:footnote w:type="continuationSeparator" w:id="0">
    <w:p w14:paraId="3155C263" w14:textId="77777777" w:rsidR="00891BB6" w:rsidRDefault="00891BB6" w:rsidP="00982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3E119" w14:textId="77777777" w:rsidR="0098228E" w:rsidRDefault="009822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B2A37" w14:textId="77777777" w:rsidR="0098228E" w:rsidRDefault="009822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71D23" w14:textId="77777777" w:rsidR="0098228E" w:rsidRDefault="009822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AytrCwMDM1NzGwMDFR0lEKTi0uzszPAykwrQUA2hDFuiwAAAA="/>
  </w:docVars>
  <w:rsids>
    <w:rsidRoot w:val="00C166C1"/>
    <w:rsid w:val="00010797"/>
    <w:rsid w:val="0005190C"/>
    <w:rsid w:val="0006406B"/>
    <w:rsid w:val="0016192D"/>
    <w:rsid w:val="001B323D"/>
    <w:rsid w:val="00211B68"/>
    <w:rsid w:val="0029612E"/>
    <w:rsid w:val="00372239"/>
    <w:rsid w:val="0037336F"/>
    <w:rsid w:val="003A5DE7"/>
    <w:rsid w:val="00446D43"/>
    <w:rsid w:val="00496E20"/>
    <w:rsid w:val="0055241D"/>
    <w:rsid w:val="0057085F"/>
    <w:rsid w:val="005E0A83"/>
    <w:rsid w:val="005E154D"/>
    <w:rsid w:val="00634175"/>
    <w:rsid w:val="007A53C7"/>
    <w:rsid w:val="007E06BD"/>
    <w:rsid w:val="00854B75"/>
    <w:rsid w:val="008655B0"/>
    <w:rsid w:val="00875401"/>
    <w:rsid w:val="00891BB6"/>
    <w:rsid w:val="0097532C"/>
    <w:rsid w:val="0098228E"/>
    <w:rsid w:val="00991D0C"/>
    <w:rsid w:val="009D22AE"/>
    <w:rsid w:val="00C166C1"/>
    <w:rsid w:val="00D5583F"/>
    <w:rsid w:val="00D607AC"/>
    <w:rsid w:val="00D660F9"/>
    <w:rsid w:val="00EB5844"/>
    <w:rsid w:val="00EC7F32"/>
    <w:rsid w:val="00ED3581"/>
    <w:rsid w:val="00F0645A"/>
    <w:rsid w:val="00F14D51"/>
    <w:rsid w:val="00F2446E"/>
    <w:rsid w:val="00F6369D"/>
    <w:rsid w:val="00FD5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3997"/>
  <w15:chartTrackingRefBased/>
  <w15:docId w15:val="{7366F655-3A46-4038-8DA7-BB2BC441E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C166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166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166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166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166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6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166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166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166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166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6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C1"/>
    <w:rPr>
      <w:rFonts w:eastAsiaTheme="majorEastAsia" w:cstheme="majorBidi"/>
      <w:color w:val="272727" w:themeColor="text1" w:themeTint="D8"/>
    </w:rPr>
  </w:style>
  <w:style w:type="paragraph" w:styleId="Title">
    <w:name w:val="Title"/>
    <w:basedOn w:val="Normal"/>
    <w:next w:val="Normal"/>
    <w:link w:val="TitleChar"/>
    <w:uiPriority w:val="10"/>
    <w:qFormat/>
    <w:rsid w:val="00C16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6C1"/>
    <w:pPr>
      <w:spacing w:before="160"/>
      <w:jc w:val="center"/>
    </w:pPr>
    <w:rPr>
      <w:i/>
      <w:iCs/>
      <w:color w:val="404040" w:themeColor="text1" w:themeTint="BF"/>
    </w:rPr>
  </w:style>
  <w:style w:type="character" w:customStyle="1" w:styleId="QuoteChar">
    <w:name w:val="Quote Char"/>
    <w:basedOn w:val="DefaultParagraphFont"/>
    <w:link w:val="Quote"/>
    <w:uiPriority w:val="29"/>
    <w:rsid w:val="00C166C1"/>
    <w:rPr>
      <w:i/>
      <w:iCs/>
      <w:color w:val="404040" w:themeColor="text1" w:themeTint="BF"/>
    </w:rPr>
  </w:style>
  <w:style w:type="paragraph" w:styleId="ListParagraph">
    <w:name w:val="List Paragraph"/>
    <w:basedOn w:val="Normal"/>
    <w:uiPriority w:val="34"/>
    <w:qFormat/>
    <w:rsid w:val="00C166C1"/>
    <w:pPr>
      <w:ind w:left="720"/>
      <w:contextualSpacing/>
    </w:pPr>
  </w:style>
  <w:style w:type="character" w:styleId="IntenseEmphasis">
    <w:name w:val="Intense Emphasis"/>
    <w:basedOn w:val="DefaultParagraphFont"/>
    <w:uiPriority w:val="21"/>
    <w:qFormat/>
    <w:rsid w:val="00C166C1"/>
    <w:rPr>
      <w:i/>
      <w:iCs/>
      <w:color w:val="2E74B5" w:themeColor="accent1" w:themeShade="BF"/>
    </w:rPr>
  </w:style>
  <w:style w:type="paragraph" w:styleId="IntenseQuote">
    <w:name w:val="Intense Quote"/>
    <w:basedOn w:val="Normal"/>
    <w:next w:val="Normal"/>
    <w:link w:val="IntenseQuoteChar"/>
    <w:uiPriority w:val="30"/>
    <w:qFormat/>
    <w:rsid w:val="00C166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66C1"/>
    <w:rPr>
      <w:i/>
      <w:iCs/>
      <w:color w:val="2E74B5" w:themeColor="accent1" w:themeShade="BF"/>
    </w:rPr>
  </w:style>
  <w:style w:type="character" w:styleId="IntenseReference">
    <w:name w:val="Intense Reference"/>
    <w:basedOn w:val="DefaultParagraphFont"/>
    <w:uiPriority w:val="32"/>
    <w:qFormat/>
    <w:rsid w:val="00C166C1"/>
    <w:rPr>
      <w:b/>
      <w:bCs/>
      <w:smallCaps/>
      <w:color w:val="2E74B5" w:themeColor="accent1" w:themeShade="BF"/>
      <w:spacing w:val="5"/>
    </w:rPr>
  </w:style>
  <w:style w:type="paragraph" w:styleId="NormalWeb">
    <w:name w:val="Normal (Web)"/>
    <w:basedOn w:val="Normal"/>
    <w:uiPriority w:val="99"/>
    <w:semiHidden/>
    <w:unhideWhenUsed/>
    <w:rsid w:val="0055241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5241D"/>
    <w:rPr>
      <w:b/>
      <w:bCs/>
    </w:rPr>
  </w:style>
  <w:style w:type="paragraph" w:styleId="Header">
    <w:name w:val="header"/>
    <w:basedOn w:val="Normal"/>
    <w:link w:val="HeaderChar"/>
    <w:uiPriority w:val="99"/>
    <w:unhideWhenUsed/>
    <w:rsid w:val="0098228E"/>
    <w:pPr>
      <w:tabs>
        <w:tab w:val="center" w:pos="4320"/>
        <w:tab w:val="right" w:pos="8640"/>
      </w:tabs>
      <w:spacing w:after="0" w:line="240" w:lineRule="auto"/>
    </w:pPr>
  </w:style>
  <w:style w:type="character" w:customStyle="1" w:styleId="HeaderChar">
    <w:name w:val="Header Char"/>
    <w:basedOn w:val="DefaultParagraphFont"/>
    <w:link w:val="Header"/>
    <w:uiPriority w:val="99"/>
    <w:rsid w:val="0098228E"/>
  </w:style>
  <w:style w:type="paragraph" w:styleId="Footer">
    <w:name w:val="footer"/>
    <w:basedOn w:val="Normal"/>
    <w:link w:val="FooterChar"/>
    <w:uiPriority w:val="99"/>
    <w:unhideWhenUsed/>
    <w:rsid w:val="0098228E"/>
    <w:pPr>
      <w:tabs>
        <w:tab w:val="center" w:pos="4320"/>
        <w:tab w:val="right" w:pos="8640"/>
      </w:tabs>
      <w:spacing w:after="0" w:line="240" w:lineRule="auto"/>
    </w:pPr>
  </w:style>
  <w:style w:type="character" w:customStyle="1" w:styleId="FooterChar">
    <w:name w:val="Footer Char"/>
    <w:basedOn w:val="DefaultParagraphFont"/>
    <w:link w:val="Footer"/>
    <w:uiPriority w:val="99"/>
    <w:rsid w:val="0098228E"/>
  </w:style>
  <w:style w:type="character" w:customStyle="1" w:styleId="qwen-markdown-text">
    <w:name w:val="qwen-markdown-text"/>
    <w:basedOn w:val="DefaultParagraphFont"/>
    <w:rsid w:val="0037336F"/>
  </w:style>
  <w:style w:type="character" w:styleId="HTMLCode">
    <w:name w:val="HTML Code"/>
    <w:basedOn w:val="DefaultParagraphFont"/>
    <w:uiPriority w:val="99"/>
    <w:semiHidden/>
    <w:unhideWhenUsed/>
    <w:rsid w:val="003733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microsoft.com/office/2007/relationships/hdphoto" Target="media/hdphoto3.wdp"/><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footer" Target="footer1.xml"/><Relationship Id="rId10" Type="http://schemas.microsoft.com/office/2007/relationships/hdphoto" Target="media/hdphoto2.wdp"/><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4723</Words>
  <Characters>26924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31584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khzaalh</dc:creator>
  <cp:keywords/>
  <dc:description/>
  <cp:lastModifiedBy>suha ali</cp:lastModifiedBy>
  <cp:revision>2</cp:revision>
  <dcterms:created xsi:type="dcterms:W3CDTF">2025-12-15T19:56:00Z</dcterms:created>
  <dcterms:modified xsi:type="dcterms:W3CDTF">2025-12-15T19:56:00Z</dcterms:modified>
</cp:coreProperties>
</file>