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sz w:val="56"/>
          <w:szCs w:val="56"/>
        </w:rPr>
        <w:t xml:space="preserve">DISCORD Literature Companion</w:t>
      </w:r>
    </w:p>
    <w:p>
      <w:pPr>
        <w:spacing w:after="600"/>
        <w:jc w:val="center"/>
      </w:pPr>
      <w:r>
        <w:rPr>
          <w:color w:val="555555"/>
          <w:sz w:val="28"/>
          <w:szCs w:val="28"/>
        </w:rPr>
        <w:t xml:space="preserve">The 13 crucial papers, explained in detail</w:t>
      </w:r>
    </w:p>
    <w:p>
      <w:pPr>
        <w:jc w:val="center"/>
      </w:pPr>
      <w:r>
        <w:rPr>
          <w:i/>
          <w:iCs/>
          <w:color w:val="777777"/>
        </w:rPr>
        <w:t xml:space="preserve">Prepared for the DISCORD related-work / literature review section</w:t>
      </w:r>
    </w:p>
    <w:p>
      <w:r>
        <w:br w:type="page"/>
      </w:r>
    </w:p>
    <w:p>
      <w:pPr>
        <w:pStyle w:val="Heading1"/>
        <w:spacing w:after="200" w:before="400"/>
      </w:pPr>
      <w:r>
        <w:t xml:space="preserve">Contents</w:t>
      </w:r>
    </w:p>
    <w:p>
      <w:pPr>
        <w:spacing w:after="90"/>
      </w:pPr>
      <w:r>
        <w:t xml:space="preserve">How to use this document</w:t>
      </w:r>
    </w:p>
    <w:p>
      <w:pPr>
        <w:spacing w:after="90"/>
      </w:pPr>
      <w:r>
        <w:t xml:space="preserve">1. Paczynski (1986) - the founding paper</w:t>
      </w:r>
    </w:p>
    <w:p>
      <w:pPr>
        <w:spacing w:after="90"/>
      </w:pPr>
      <w:r>
        <w:t xml:space="preserve">2. Plank (2022) - naming the problem</w:t>
      </w:r>
    </w:p>
    <w:p>
      <w:pPr>
        <w:spacing w:after="90"/>
      </w:pPr>
      <w:r>
        <w:t xml:space="preserve">3. Uma et al. (2021) - the survey</w:t>
      </w:r>
    </w:p>
    <w:p>
      <w:pPr>
        <w:spacing w:after="90"/>
      </w:pPr>
      <w:r>
        <w:t xml:space="preserve">4. Houlsby et al. (2011) - the origin of BALD</w:t>
      </w:r>
    </w:p>
    <w:p>
      <w:pPr>
        <w:spacing w:after="90"/>
      </w:pPr>
      <w:r>
        <w:t xml:space="preserve">5. Gal &amp; Ghahramani (2016) - MC Dropout, the missing link</w:t>
      </w:r>
    </w:p>
    <w:p>
      <w:pPr>
        <w:spacing w:after="90"/>
      </w:pPr>
      <w:r>
        <w:t xml:space="preserve">6. Lochner &amp; Bassett (2021) - Astronomaly</w:t>
      </w:r>
    </w:p>
    <w:p>
      <w:pPr>
        <w:spacing w:after="90"/>
      </w:pPr>
      <w:r>
        <w:t xml:space="preserve">7. Walmsley et al. (2019) - the closest architectural blueprint</w:t>
      </w:r>
    </w:p>
    <w:p>
      <w:pPr>
        <w:spacing w:after="90"/>
      </w:pPr>
      <w:r>
        <w:t xml:space="preserve">8. Marshall et al. (2015) - Space Warps and the SWAP algorithm</w:t>
      </w:r>
    </w:p>
    <w:p>
      <w:pPr>
        <w:spacing w:after="90"/>
      </w:pPr>
      <w:r>
        <w:t xml:space="preserve">9. Andersson et al. (2024/2025) - the MeerKAT radio transients paper</w:t>
      </w:r>
    </w:p>
    <w:p>
      <w:pPr>
        <w:spacing w:after="90"/>
      </w:pPr>
      <w:r>
        <w:t xml:space="preserve">10. Gomez &amp; O'Ryan (2025) - AnomalyMatch</w:t>
      </w:r>
    </w:p>
    <w:p>
      <w:pPr>
        <w:spacing w:after="90"/>
      </w:pPr>
      <w:r>
        <w:t xml:space="preserve">11. Mroz (2020) - neural networks directly on OGLE data</w:t>
      </w:r>
    </w:p>
    <w:p>
      <w:pPr>
        <w:spacing w:after="90"/>
      </w:pPr>
      <w:r>
        <w:t xml:space="preserve">12. Vernardos &amp; Tsagkatakis (2019) - CNNs on microlensing light curves, a different regime</w:t>
      </w:r>
    </w:p>
    <w:p>
      <w:pPr>
        <w:spacing w:after="90"/>
      </w:pPr>
      <w:r>
        <w:t xml:space="preserve">13. Black Hole Hunters - citizen science and microlensing, already combined</w:t>
      </w:r>
    </w:p>
    <w:p>
      <w:pPr>
        <w:spacing w:after="90"/>
      </w:pPr>
      <w:r>
        <w:t xml:space="preserve">How the two halves fit together</w:t>
      </w:r>
    </w:p>
    <w:p>
      <w:r>
        <w:br w:type="page"/>
      </w:r>
    </w:p>
    <w:p>
      <w:pPr>
        <w:pStyle w:val="Heading1"/>
        <w:spacing w:after="200" w:before="400"/>
      </w:pPr>
      <w:r>
        <w:t xml:space="preserve">How to use this document</w:t>
      </w:r>
    </w:p>
    <w:p>
      <w:pPr>
        <w:spacing w:after="150"/>
      </w:pPr>
      <w:r>
        <w:t xml:space="preserve">This walks through the 13 papers flagged as crucial reading for DISCORD, in the order it makes sense to read them: the founding paper of microlensing, then the two halves of DISCORD's actual argument (human label variation, and Bayesian active learning), then the astronomy papers that sit closest to your project by method or by subject, finishing with the two direct microlensing plus machine learning precedents and the one live citizen-science project with no paper yet.</w:t>
      </w:r>
    </w:p>
    <w:p>
      <w:pPr>
        <w:spacing w:after="150"/>
      </w:pPr>
      <w:r>
        <w:t xml:space="preserve">Each entry gives the full citation, what the paper actually does, its key method and result, and a shaded box spelling out exactly how it connects to DISCORD. Use the shaded boxes as the raw material for your related-work paragraphs; use the rest as background so you can read the original papers with a map already in hand.</w:t>
      </w:r>
    </w:p>
    <w:p>
      <w:pPr>
        <w:spacing w:after="200"/>
      </w:pPr>
    </w:p>
    <w:p>
      <w:pPr>
        <w:pStyle w:val="Heading2"/>
        <w:spacing w:after="100" w:before="200"/>
      </w:pPr>
      <w:r>
        <w:t xml:space="preserve">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50"/>
      </w:tblGrid>
      <w:tr>
        <w:trPr>
          <w:tblHeader/>
        </w:trPr>
        <w:tc>
          <w:tcPr>
            <w:tcW w:type="dxa" w:w="2700"/>
            <w:shd w:fill="2D3748" w:val="clear"/>
            <w:tcMar>
              <w:top w:type="dxa" w:w="100"/>
              <w:left w:type="dxa" w:w="120"/>
              <w:bottom w:type="dxa" w:w="100"/>
              <w:right w:type="dxa" w:w="120"/>
            </w:tcMar>
          </w:tcPr>
          <w:p>
            <w:r>
              <w:rPr>
                <w:b/>
                <w:bCs/>
                <w:color w:val="FFFFFF"/>
                <w:sz w:val="20"/>
                <w:szCs w:val="20"/>
              </w:rPr>
              <w:t xml:space="preserve">Paper</w:t>
            </w:r>
          </w:p>
        </w:tc>
        <w:tc>
          <w:tcPr>
            <w:tcW w:type="dxa" w:w="1400"/>
            <w:shd w:fill="2D3748" w:val="clear"/>
            <w:tcMar>
              <w:top w:type="dxa" w:w="100"/>
              <w:left w:type="dxa" w:w="120"/>
              <w:bottom w:type="dxa" w:w="100"/>
              <w:right w:type="dxa" w:w="120"/>
            </w:tcMar>
          </w:tcPr>
          <w:p>
            <w:r>
              <w:rPr>
                <w:b/>
                <w:bCs/>
                <w:color w:val="FFFFFF"/>
                <w:sz w:val="20"/>
                <w:szCs w:val="20"/>
              </w:rPr>
              <w:t xml:space="preserve">Year</w:t>
            </w:r>
          </w:p>
        </w:tc>
        <w:tc>
          <w:tcPr>
            <w:tcW w:type="dxa" w:w="5250"/>
            <w:shd w:fill="2D3748" w:val="clear"/>
            <w:tcMar>
              <w:top w:type="dxa" w:w="100"/>
              <w:left w:type="dxa" w:w="120"/>
              <w:bottom w:type="dxa" w:w="100"/>
              <w:right w:type="dxa" w:w="120"/>
            </w:tcMar>
          </w:tcPr>
          <w:p>
            <w:r>
              <w:rPr>
                <w:b/>
                <w:bCs/>
                <w:color w:val="FFFFFF"/>
                <w:sz w:val="20"/>
                <w:szCs w:val="20"/>
              </w:rPr>
              <w:t xml:space="preserve">One-line role in your argument</w:t>
            </w:r>
          </w:p>
        </w:tc>
      </w:tr>
      <w:tr>
        <w:trPr>
          <w:tblHeader w:val="false"/>
        </w:trPr>
        <w:tc>
          <w:tcPr>
            <w:tcW w:type="dxa" w:w="2700"/>
            <w:tcMar>
              <w:top w:type="dxa" w:w="100"/>
              <w:left w:type="dxa" w:w="120"/>
              <w:bottom w:type="dxa" w:w="100"/>
              <w:right w:type="dxa" w:w="120"/>
            </w:tcMar>
          </w:tcPr>
          <w:p>
            <w:r>
              <w:rPr>
                <w:b w:val="false"/>
                <w:bCs w:val="false"/>
                <w:color w:val="000000"/>
                <w:sz w:val="20"/>
                <w:szCs w:val="20"/>
              </w:rPr>
              <w:t xml:space="preserve">Paczyński</w:t>
            </w:r>
          </w:p>
        </w:tc>
        <w:tc>
          <w:tcPr>
            <w:tcW w:type="dxa" w:w="1400"/>
            <w:tcMar>
              <w:top w:type="dxa" w:w="100"/>
              <w:left w:type="dxa" w:w="120"/>
              <w:bottom w:type="dxa" w:w="100"/>
              <w:right w:type="dxa" w:w="120"/>
            </w:tcMar>
          </w:tcPr>
          <w:p>
            <w:r>
              <w:rPr>
                <w:b w:val="false"/>
                <w:bCs w:val="false"/>
                <w:color w:val="000000"/>
                <w:sz w:val="20"/>
                <w:szCs w:val="20"/>
              </w:rPr>
              <w:t xml:space="preserve">1986</w:t>
            </w:r>
          </w:p>
        </w:tc>
        <w:tc>
          <w:tcPr>
            <w:tcW w:type="dxa" w:w="5250"/>
            <w:tcMar>
              <w:top w:type="dxa" w:w="100"/>
              <w:left w:type="dxa" w:w="120"/>
              <w:bottom w:type="dxa" w:w="100"/>
              <w:right w:type="dxa" w:w="120"/>
            </w:tcMar>
          </w:tcPr>
          <w:p>
            <w:r>
              <w:rPr>
                <w:b w:val="false"/>
                <w:bCs w:val="false"/>
                <w:color w:val="000000"/>
                <w:sz w:val="20"/>
                <w:szCs w:val="20"/>
              </w:rPr>
              <w:t xml:space="preserve">Founding proposal of microlensing as a dark-matter probe</w:t>
            </w:r>
          </w:p>
        </w:tc>
      </w:tr>
      <w:tr>
        <w:trPr>
          <w:tblHeader w:val="false"/>
        </w:trPr>
        <w:tc>
          <w:tcPr>
            <w:tcW w:type="dxa" w:w="2700"/>
            <w:shd w:fill="F7FAFC" w:val="clear"/>
            <w:tcMar>
              <w:top w:type="dxa" w:w="100"/>
              <w:left w:type="dxa" w:w="120"/>
              <w:bottom w:type="dxa" w:w="100"/>
              <w:right w:type="dxa" w:w="120"/>
            </w:tcMar>
          </w:tcPr>
          <w:p>
            <w:r>
              <w:rPr>
                <w:b w:val="false"/>
                <w:bCs w:val="false"/>
                <w:color w:val="000000"/>
                <w:sz w:val="20"/>
                <w:szCs w:val="20"/>
              </w:rPr>
              <w:t xml:space="preserve">Plank</w:t>
            </w:r>
          </w:p>
        </w:tc>
        <w:tc>
          <w:tcPr>
            <w:tcW w:type="dxa" w:w="1400"/>
            <w:shd w:fill="F7FAFC" w:val="clear"/>
            <w:tcMar>
              <w:top w:type="dxa" w:w="100"/>
              <w:left w:type="dxa" w:w="120"/>
              <w:bottom w:type="dxa" w:w="100"/>
              <w:right w:type="dxa" w:w="120"/>
            </w:tcMar>
          </w:tcPr>
          <w:p>
            <w:r>
              <w:rPr>
                <w:b w:val="false"/>
                <w:bCs w:val="false"/>
                <w:color w:val="000000"/>
                <w:sz w:val="20"/>
                <w:szCs w:val="20"/>
              </w:rPr>
              <w:t xml:space="preserve">2022</w:t>
            </w:r>
          </w:p>
        </w:tc>
        <w:tc>
          <w:tcPr>
            <w:tcW w:type="dxa" w:w="5250"/>
            <w:shd w:fill="F7FAFC" w:val="clear"/>
            <w:tcMar>
              <w:top w:type="dxa" w:w="100"/>
              <w:left w:type="dxa" w:w="120"/>
              <w:bottom w:type="dxa" w:w="100"/>
              <w:right w:type="dxa" w:w="120"/>
            </w:tcMar>
          </w:tcPr>
          <w:p>
            <w:r>
              <w:rPr>
                <w:b w:val="false"/>
                <w:bCs w:val="false"/>
                <w:color w:val="000000"/>
                <w:sz w:val="20"/>
                <w:szCs w:val="20"/>
              </w:rPr>
              <w:t xml:space="preserve">Names and formalises Human Label Variation (HLV)</w:t>
            </w:r>
          </w:p>
        </w:tc>
      </w:tr>
      <w:tr>
        <w:trPr>
          <w:tblHeader w:val="false"/>
        </w:trPr>
        <w:tc>
          <w:tcPr>
            <w:tcW w:type="dxa" w:w="2700"/>
            <w:tcMar>
              <w:top w:type="dxa" w:w="100"/>
              <w:left w:type="dxa" w:w="120"/>
              <w:bottom w:type="dxa" w:w="100"/>
              <w:right w:type="dxa" w:w="120"/>
            </w:tcMar>
          </w:tcPr>
          <w:p>
            <w:r>
              <w:rPr>
                <w:b w:val="false"/>
                <w:bCs w:val="false"/>
                <w:color w:val="000000"/>
                <w:sz w:val="20"/>
                <w:szCs w:val="20"/>
              </w:rPr>
              <w:t xml:space="preserve">Uma et al.</w:t>
            </w:r>
          </w:p>
        </w:tc>
        <w:tc>
          <w:tcPr>
            <w:tcW w:type="dxa" w:w="1400"/>
            <w:tcMar>
              <w:top w:type="dxa" w:w="100"/>
              <w:left w:type="dxa" w:w="120"/>
              <w:bottom w:type="dxa" w:w="100"/>
              <w:right w:type="dxa" w:w="120"/>
            </w:tcMar>
          </w:tcPr>
          <w:p>
            <w:r>
              <w:rPr>
                <w:b w:val="false"/>
                <w:bCs w:val="false"/>
                <w:color w:val="000000"/>
                <w:sz w:val="20"/>
                <w:szCs w:val="20"/>
              </w:rPr>
              <w:t xml:space="preserve">2021</w:t>
            </w:r>
          </w:p>
        </w:tc>
        <w:tc>
          <w:tcPr>
            <w:tcW w:type="dxa" w:w="5250"/>
            <w:tcMar>
              <w:top w:type="dxa" w:w="100"/>
              <w:left w:type="dxa" w:w="120"/>
              <w:bottom w:type="dxa" w:w="100"/>
              <w:right w:type="dxa" w:w="120"/>
            </w:tcMar>
          </w:tcPr>
          <w:p>
            <w:r>
              <w:rPr>
                <w:b w:val="false"/>
                <w:bCs w:val="false"/>
                <w:color w:val="000000"/>
                <w:sz w:val="20"/>
                <w:szCs w:val="20"/>
              </w:rPr>
              <w:t xml:space="preserve">Survey establishing disagreement-as-signal as a field</w:t>
            </w:r>
          </w:p>
        </w:tc>
      </w:tr>
      <w:tr>
        <w:trPr>
          <w:tblHeader w:val="false"/>
        </w:trPr>
        <w:tc>
          <w:tcPr>
            <w:tcW w:type="dxa" w:w="2700"/>
            <w:shd w:fill="F7FAFC" w:val="clear"/>
            <w:tcMar>
              <w:top w:type="dxa" w:w="100"/>
              <w:left w:type="dxa" w:w="120"/>
              <w:bottom w:type="dxa" w:w="100"/>
              <w:right w:type="dxa" w:w="120"/>
            </w:tcMar>
          </w:tcPr>
          <w:p>
            <w:r>
              <w:rPr>
                <w:b w:val="false"/>
                <w:bCs w:val="false"/>
                <w:color w:val="000000"/>
                <w:sz w:val="20"/>
                <w:szCs w:val="20"/>
              </w:rPr>
              <w:t xml:space="preserve">Houlsby et al.</w:t>
            </w:r>
          </w:p>
        </w:tc>
        <w:tc>
          <w:tcPr>
            <w:tcW w:type="dxa" w:w="1400"/>
            <w:shd w:fill="F7FAFC" w:val="clear"/>
            <w:tcMar>
              <w:top w:type="dxa" w:w="100"/>
              <w:left w:type="dxa" w:w="120"/>
              <w:bottom w:type="dxa" w:w="100"/>
              <w:right w:type="dxa" w:w="120"/>
            </w:tcMar>
          </w:tcPr>
          <w:p>
            <w:r>
              <w:rPr>
                <w:b w:val="false"/>
                <w:bCs w:val="false"/>
                <w:color w:val="000000"/>
                <w:sz w:val="20"/>
                <w:szCs w:val="20"/>
              </w:rPr>
              <w:t xml:space="preserve">2011</w:t>
            </w:r>
          </w:p>
        </w:tc>
        <w:tc>
          <w:tcPr>
            <w:tcW w:type="dxa" w:w="5250"/>
            <w:shd w:fill="F7FAFC" w:val="clear"/>
            <w:tcMar>
              <w:top w:type="dxa" w:w="100"/>
              <w:left w:type="dxa" w:w="120"/>
              <w:bottom w:type="dxa" w:w="100"/>
              <w:right w:type="dxa" w:w="120"/>
            </w:tcMar>
          </w:tcPr>
          <w:p>
            <w:r>
              <w:rPr>
                <w:b w:val="false"/>
                <w:bCs w:val="false"/>
                <w:color w:val="000000"/>
                <w:sz w:val="20"/>
                <w:szCs w:val="20"/>
              </w:rPr>
              <w:t xml:space="preserve">Origin of BALD — tested for DISCORD 2026-07-27, found not to help (see notes)</w:t>
            </w:r>
          </w:p>
        </w:tc>
      </w:tr>
      <w:tr>
        <w:trPr>
          <w:tblHeader w:val="false"/>
        </w:trPr>
        <w:tc>
          <w:tcPr>
            <w:tcW w:type="dxa" w:w="2700"/>
            <w:tcMar>
              <w:top w:type="dxa" w:w="100"/>
              <w:left w:type="dxa" w:w="120"/>
              <w:bottom w:type="dxa" w:w="100"/>
              <w:right w:type="dxa" w:w="120"/>
            </w:tcMar>
          </w:tcPr>
          <w:p>
            <w:r>
              <w:rPr>
                <w:b w:val="false"/>
                <w:bCs w:val="false"/>
                <w:color w:val="000000"/>
                <w:sz w:val="20"/>
                <w:szCs w:val="20"/>
              </w:rPr>
              <w:t xml:space="preserve">Gal &amp; Ghahramani</w:t>
            </w:r>
          </w:p>
        </w:tc>
        <w:tc>
          <w:tcPr>
            <w:tcW w:type="dxa" w:w="1400"/>
            <w:tcMar>
              <w:top w:type="dxa" w:w="100"/>
              <w:left w:type="dxa" w:w="120"/>
              <w:bottom w:type="dxa" w:w="100"/>
              <w:right w:type="dxa" w:w="120"/>
            </w:tcMar>
          </w:tcPr>
          <w:p>
            <w:r>
              <w:rPr>
                <w:b w:val="false"/>
                <w:bCs w:val="false"/>
                <w:color w:val="000000"/>
                <w:sz w:val="20"/>
                <w:szCs w:val="20"/>
              </w:rPr>
              <w:t xml:space="preserve">2016</w:t>
            </w:r>
          </w:p>
        </w:tc>
        <w:tc>
          <w:tcPr>
            <w:tcW w:type="dxa" w:w="5250"/>
            <w:tcMar>
              <w:top w:type="dxa" w:w="100"/>
              <w:left w:type="dxa" w:w="120"/>
              <w:bottom w:type="dxa" w:w="100"/>
              <w:right w:type="dxa" w:w="120"/>
            </w:tcMar>
          </w:tcPr>
          <w:p>
            <w:r>
              <w:rPr>
                <w:b w:val="false"/>
                <w:bCs w:val="false"/>
                <w:color w:val="000000"/>
                <w:sz w:val="20"/>
                <w:szCs w:val="20"/>
              </w:rPr>
              <w:t xml:space="preserve">MC Dropout: makes BALD tractable — implemented and tested, did not beat plain confidence</w:t>
            </w:r>
          </w:p>
        </w:tc>
      </w:tr>
      <w:tr>
        <w:trPr>
          <w:tblHeader w:val="false"/>
        </w:trPr>
        <w:tc>
          <w:tcPr>
            <w:tcW w:type="dxa" w:w="2700"/>
            <w:shd w:fill="F7FAFC" w:val="clear"/>
            <w:tcMar>
              <w:top w:type="dxa" w:w="100"/>
              <w:left w:type="dxa" w:w="120"/>
              <w:bottom w:type="dxa" w:w="100"/>
              <w:right w:type="dxa" w:w="120"/>
            </w:tcMar>
          </w:tcPr>
          <w:p>
            <w:r>
              <w:rPr>
                <w:b w:val="false"/>
                <w:bCs w:val="false"/>
                <w:color w:val="000000"/>
                <w:sz w:val="20"/>
                <w:szCs w:val="20"/>
              </w:rPr>
              <w:t xml:space="preserve">Lochner &amp; Bassett</w:t>
            </w:r>
          </w:p>
        </w:tc>
        <w:tc>
          <w:tcPr>
            <w:tcW w:type="dxa" w:w="1400"/>
            <w:shd w:fill="F7FAFC" w:val="clear"/>
            <w:tcMar>
              <w:top w:type="dxa" w:w="100"/>
              <w:left w:type="dxa" w:w="120"/>
              <w:bottom w:type="dxa" w:w="100"/>
              <w:right w:type="dxa" w:w="120"/>
            </w:tcMar>
          </w:tcPr>
          <w:p>
            <w:r>
              <w:rPr>
                <w:b w:val="false"/>
                <w:bCs w:val="false"/>
                <w:color w:val="000000"/>
                <w:sz w:val="20"/>
                <w:szCs w:val="20"/>
              </w:rPr>
              <w:t xml:space="preserve">2021</w:t>
            </w:r>
          </w:p>
        </w:tc>
        <w:tc>
          <w:tcPr>
            <w:tcW w:type="dxa" w:w="5250"/>
            <w:shd w:fill="F7FAFC" w:val="clear"/>
            <w:tcMar>
              <w:top w:type="dxa" w:w="100"/>
              <w:left w:type="dxa" w:w="120"/>
              <w:bottom w:type="dxa" w:w="100"/>
              <w:right w:type="dxa" w:w="120"/>
            </w:tcMar>
          </w:tcPr>
          <w:p>
            <w:r>
              <w:rPr>
                <w:b w:val="false"/>
                <w:bCs w:val="false"/>
                <w:color w:val="000000"/>
                <w:sz w:val="20"/>
                <w:szCs w:val="20"/>
              </w:rPr>
              <w:t xml:space="preserve">Astronomaly — the framework you're positioned against</w:t>
            </w:r>
          </w:p>
        </w:tc>
      </w:tr>
      <w:tr>
        <w:trPr>
          <w:tblHeader w:val="false"/>
        </w:trPr>
        <w:tc>
          <w:tcPr>
            <w:tcW w:type="dxa" w:w="2700"/>
            <w:tcMar>
              <w:top w:type="dxa" w:w="100"/>
              <w:left w:type="dxa" w:w="120"/>
              <w:bottom w:type="dxa" w:w="100"/>
              <w:right w:type="dxa" w:w="120"/>
            </w:tcMar>
          </w:tcPr>
          <w:p>
            <w:r>
              <w:rPr>
                <w:b w:val="false"/>
                <w:bCs w:val="false"/>
                <w:color w:val="000000"/>
                <w:sz w:val="20"/>
                <w:szCs w:val="20"/>
              </w:rPr>
              <w:t xml:space="preserve">Walmsley et al.</w:t>
            </w:r>
          </w:p>
        </w:tc>
        <w:tc>
          <w:tcPr>
            <w:tcW w:type="dxa" w:w="1400"/>
            <w:tcMar>
              <w:top w:type="dxa" w:w="100"/>
              <w:left w:type="dxa" w:w="120"/>
              <w:bottom w:type="dxa" w:w="100"/>
              <w:right w:type="dxa" w:w="120"/>
            </w:tcMar>
          </w:tcPr>
          <w:p>
            <w:r>
              <w:rPr>
                <w:b w:val="false"/>
                <w:bCs w:val="false"/>
                <w:color w:val="000000"/>
                <w:sz w:val="20"/>
                <w:szCs w:val="20"/>
              </w:rPr>
              <w:t xml:space="preserve">2019</w:t>
            </w:r>
          </w:p>
        </w:tc>
        <w:tc>
          <w:tcPr>
            <w:tcW w:type="dxa" w:w="5250"/>
            <w:tcMar>
              <w:top w:type="dxa" w:w="100"/>
              <w:left w:type="dxa" w:w="120"/>
              <w:bottom w:type="dxa" w:w="100"/>
              <w:right w:type="dxa" w:w="120"/>
            </w:tcMar>
          </w:tcPr>
          <w:p>
            <w:r>
              <w:rPr>
                <w:b w:val="false"/>
                <w:bCs w:val="false"/>
                <w:color w:val="000000"/>
                <w:sz w:val="20"/>
                <w:szCs w:val="20"/>
              </w:rPr>
              <w:t xml:space="preserve">Closest architectural blueprint: Bayesian CNN + BALD + crowd votes</w:t>
            </w:r>
          </w:p>
        </w:tc>
      </w:tr>
      <w:tr>
        <w:trPr>
          <w:tblHeader w:val="false"/>
        </w:trPr>
        <w:tc>
          <w:tcPr>
            <w:tcW w:type="dxa" w:w="2700"/>
            <w:shd w:fill="F7FAFC" w:val="clear"/>
            <w:tcMar>
              <w:top w:type="dxa" w:w="100"/>
              <w:left w:type="dxa" w:w="120"/>
              <w:bottom w:type="dxa" w:w="100"/>
              <w:right w:type="dxa" w:w="120"/>
            </w:tcMar>
          </w:tcPr>
          <w:p>
            <w:r>
              <w:rPr>
                <w:b w:val="false"/>
                <w:bCs w:val="false"/>
                <w:color w:val="000000"/>
                <w:sz w:val="20"/>
                <w:szCs w:val="20"/>
              </w:rPr>
              <w:t xml:space="preserve">Marshall et al.</w:t>
            </w:r>
          </w:p>
        </w:tc>
        <w:tc>
          <w:tcPr>
            <w:tcW w:type="dxa" w:w="1400"/>
            <w:shd w:fill="F7FAFC" w:val="clear"/>
            <w:tcMar>
              <w:top w:type="dxa" w:w="100"/>
              <w:left w:type="dxa" w:w="120"/>
              <w:bottom w:type="dxa" w:w="100"/>
              <w:right w:type="dxa" w:w="120"/>
            </w:tcMar>
          </w:tcPr>
          <w:p>
            <w:r>
              <w:rPr>
                <w:b w:val="false"/>
                <w:bCs w:val="false"/>
                <w:color w:val="000000"/>
                <w:sz w:val="20"/>
                <w:szCs w:val="20"/>
              </w:rPr>
              <w:t xml:space="preserve">2015</w:t>
            </w:r>
          </w:p>
        </w:tc>
        <w:tc>
          <w:tcPr>
            <w:tcW w:type="dxa" w:w="5250"/>
            <w:shd w:fill="F7FAFC" w:val="clear"/>
            <w:tcMar>
              <w:top w:type="dxa" w:w="100"/>
              <w:left w:type="dxa" w:w="120"/>
              <w:bottom w:type="dxa" w:w="100"/>
              <w:right w:type="dxa" w:w="120"/>
            </w:tcMar>
          </w:tcPr>
          <w:p>
            <w:r>
              <w:rPr>
                <w:b w:val="false"/>
                <w:bCs w:val="false"/>
                <w:color w:val="000000"/>
                <w:sz w:val="20"/>
                <w:szCs w:val="20"/>
              </w:rPr>
              <w:t xml:space="preserve">Space Warps — source of the SWAP consensus algorithm</w:t>
            </w:r>
          </w:p>
        </w:tc>
      </w:tr>
      <w:tr>
        <w:trPr>
          <w:tblHeader w:val="false"/>
        </w:trPr>
        <w:tc>
          <w:tcPr>
            <w:tcW w:type="dxa" w:w="2700"/>
            <w:tcMar>
              <w:top w:type="dxa" w:w="100"/>
              <w:left w:type="dxa" w:w="120"/>
              <w:bottom w:type="dxa" w:w="100"/>
              <w:right w:type="dxa" w:w="120"/>
            </w:tcMar>
          </w:tcPr>
          <w:p>
            <w:r>
              <w:rPr>
                <w:b w:val="false"/>
                <w:bCs w:val="false"/>
                <w:color w:val="000000"/>
                <w:sz w:val="20"/>
                <w:szCs w:val="20"/>
              </w:rPr>
              <w:t xml:space="preserve">Andersson et al.</w:t>
            </w:r>
          </w:p>
        </w:tc>
        <w:tc>
          <w:tcPr>
            <w:tcW w:type="dxa" w:w="1400"/>
            <w:tcMar>
              <w:top w:type="dxa" w:w="100"/>
              <w:left w:type="dxa" w:w="120"/>
              <w:bottom w:type="dxa" w:w="100"/>
              <w:right w:type="dxa" w:w="120"/>
            </w:tcMar>
          </w:tcPr>
          <w:p>
            <w:r>
              <w:rPr>
                <w:b w:val="false"/>
                <w:bCs w:val="false"/>
                <w:color w:val="000000"/>
                <w:sz w:val="20"/>
                <w:szCs w:val="20"/>
              </w:rPr>
              <w:t xml:space="preserve">2024/25</w:t>
            </w:r>
          </w:p>
        </w:tc>
        <w:tc>
          <w:tcPr>
            <w:tcW w:type="dxa" w:w="5250"/>
            <w:tcMar>
              <w:top w:type="dxa" w:w="100"/>
              <w:left w:type="dxa" w:w="120"/>
              <w:bottom w:type="dxa" w:w="100"/>
              <w:right w:type="dxa" w:w="120"/>
            </w:tcMar>
          </w:tcPr>
          <w:p>
            <w:r>
              <w:rPr>
                <w:b w:val="false"/>
                <w:bCs w:val="false"/>
                <w:color w:val="000000"/>
                <w:sz w:val="20"/>
                <w:szCs w:val="20"/>
              </w:rPr>
              <w:t xml:space="preserve">MeerKAT transients — closest neighbour by subject matter</w:t>
            </w:r>
          </w:p>
        </w:tc>
      </w:tr>
      <w:tr>
        <w:trPr>
          <w:tblHeader w:val="false"/>
        </w:trPr>
        <w:tc>
          <w:tcPr>
            <w:tcW w:type="dxa" w:w="2700"/>
            <w:shd w:fill="F7FAFC" w:val="clear"/>
            <w:tcMar>
              <w:top w:type="dxa" w:w="100"/>
              <w:left w:type="dxa" w:w="120"/>
              <w:bottom w:type="dxa" w:w="100"/>
              <w:right w:type="dxa" w:w="120"/>
            </w:tcMar>
          </w:tcPr>
          <w:p>
            <w:r>
              <w:rPr>
                <w:b w:val="false"/>
                <w:bCs w:val="false"/>
                <w:color w:val="000000"/>
                <w:sz w:val="20"/>
                <w:szCs w:val="20"/>
              </w:rPr>
              <w:t xml:space="preserve">Gómez &amp; O'Ryan</w:t>
            </w:r>
          </w:p>
        </w:tc>
        <w:tc>
          <w:tcPr>
            <w:tcW w:type="dxa" w:w="1400"/>
            <w:shd w:fill="F7FAFC" w:val="clear"/>
            <w:tcMar>
              <w:top w:type="dxa" w:w="100"/>
              <w:left w:type="dxa" w:w="120"/>
              <w:bottom w:type="dxa" w:w="100"/>
              <w:right w:type="dxa" w:w="120"/>
            </w:tcMar>
          </w:tcPr>
          <w:p>
            <w:r>
              <w:rPr>
                <w:b w:val="false"/>
                <w:bCs w:val="false"/>
                <w:color w:val="000000"/>
                <w:sz w:val="20"/>
                <w:szCs w:val="20"/>
              </w:rPr>
              <w:t xml:space="preserve">2025</w:t>
            </w:r>
          </w:p>
        </w:tc>
        <w:tc>
          <w:tcPr>
            <w:tcW w:type="dxa" w:w="5250"/>
            <w:shd w:fill="F7FAFC" w:val="clear"/>
            <w:tcMar>
              <w:top w:type="dxa" w:w="100"/>
              <w:left w:type="dxa" w:w="120"/>
              <w:bottom w:type="dxa" w:w="100"/>
              <w:right w:type="dxa" w:w="120"/>
            </w:tcMar>
          </w:tcPr>
          <w:p>
            <w:r>
              <w:rPr>
                <w:b w:val="false"/>
                <w:bCs w:val="false"/>
                <w:color w:val="000000"/>
                <w:sz w:val="20"/>
                <w:szCs w:val="20"/>
              </w:rPr>
              <w:t xml:space="preserve">AnomalyMatch — semi-supervised + active learning interface</w:t>
            </w:r>
          </w:p>
        </w:tc>
      </w:tr>
      <w:tr>
        <w:trPr>
          <w:tblHeader w:val="false"/>
        </w:trPr>
        <w:tc>
          <w:tcPr>
            <w:tcW w:type="dxa" w:w="2700"/>
            <w:tcMar>
              <w:top w:type="dxa" w:w="100"/>
              <w:left w:type="dxa" w:w="120"/>
              <w:bottom w:type="dxa" w:w="100"/>
              <w:right w:type="dxa" w:w="120"/>
            </w:tcMar>
          </w:tcPr>
          <w:p>
            <w:r>
              <w:rPr>
                <w:b w:val="false"/>
                <w:bCs w:val="false"/>
                <w:color w:val="000000"/>
                <w:sz w:val="20"/>
                <w:szCs w:val="20"/>
              </w:rPr>
              <w:t xml:space="preserve">Mróz</w:t>
            </w:r>
          </w:p>
        </w:tc>
        <w:tc>
          <w:tcPr>
            <w:tcW w:type="dxa" w:w="1400"/>
            <w:tcMar>
              <w:top w:type="dxa" w:w="100"/>
              <w:left w:type="dxa" w:w="120"/>
              <w:bottom w:type="dxa" w:w="100"/>
              <w:right w:type="dxa" w:w="120"/>
            </w:tcMar>
          </w:tcPr>
          <w:p>
            <w:r>
              <w:rPr>
                <w:b w:val="false"/>
                <w:bCs w:val="false"/>
                <w:color w:val="000000"/>
                <w:sz w:val="20"/>
                <w:szCs w:val="20"/>
              </w:rPr>
              <w:t xml:space="preserve">2020</w:t>
            </w:r>
          </w:p>
        </w:tc>
        <w:tc>
          <w:tcPr>
            <w:tcW w:type="dxa" w:w="5250"/>
            <w:tcMar>
              <w:top w:type="dxa" w:w="100"/>
              <w:left w:type="dxa" w:w="120"/>
              <w:bottom w:type="dxa" w:w="100"/>
              <w:right w:type="dxa" w:w="120"/>
            </w:tcMar>
          </w:tcPr>
          <w:p>
            <w:r>
              <w:rPr>
                <w:b w:val="false"/>
                <w:bCs w:val="false"/>
                <w:color w:val="000000"/>
                <w:sz w:val="20"/>
                <w:szCs w:val="20"/>
              </w:rPr>
              <w:t xml:space="preserve">Direct ancestor: NN classifier on the same OGLE data family</w:t>
            </w:r>
          </w:p>
        </w:tc>
      </w:tr>
      <w:tr>
        <w:trPr>
          <w:tblHeader w:val="false"/>
        </w:trPr>
        <w:tc>
          <w:tcPr>
            <w:tcW w:type="dxa" w:w="2700"/>
            <w:shd w:fill="F7FAFC" w:val="clear"/>
            <w:tcMar>
              <w:top w:type="dxa" w:w="100"/>
              <w:left w:type="dxa" w:w="120"/>
              <w:bottom w:type="dxa" w:w="100"/>
              <w:right w:type="dxa" w:w="120"/>
            </w:tcMar>
          </w:tcPr>
          <w:p>
            <w:r>
              <w:rPr>
                <w:b w:val="false"/>
                <w:bCs w:val="false"/>
                <w:color w:val="000000"/>
                <w:sz w:val="20"/>
                <w:szCs w:val="20"/>
              </w:rPr>
              <w:t xml:space="preserve">Vernardos &amp; Tsagkatakis</w:t>
            </w:r>
          </w:p>
        </w:tc>
        <w:tc>
          <w:tcPr>
            <w:tcW w:type="dxa" w:w="1400"/>
            <w:shd w:fill="F7FAFC" w:val="clear"/>
            <w:tcMar>
              <w:top w:type="dxa" w:w="100"/>
              <w:left w:type="dxa" w:w="120"/>
              <w:bottom w:type="dxa" w:w="100"/>
              <w:right w:type="dxa" w:w="120"/>
            </w:tcMar>
          </w:tcPr>
          <w:p>
            <w:r>
              <w:rPr>
                <w:b w:val="false"/>
                <w:bCs w:val="false"/>
                <w:color w:val="000000"/>
                <w:sz w:val="20"/>
                <w:szCs w:val="20"/>
              </w:rPr>
              <w:t xml:space="preserve">2019</w:t>
            </w:r>
          </w:p>
        </w:tc>
        <w:tc>
          <w:tcPr>
            <w:tcW w:type="dxa" w:w="5250"/>
            <w:shd w:fill="F7FAFC" w:val="clear"/>
            <w:tcMar>
              <w:top w:type="dxa" w:w="100"/>
              <w:left w:type="dxa" w:w="120"/>
              <w:bottom w:type="dxa" w:w="100"/>
              <w:right w:type="dxa" w:w="120"/>
            </w:tcMar>
          </w:tcPr>
          <w:p>
            <w:r>
              <w:rPr>
                <w:b w:val="false"/>
                <w:bCs w:val="false"/>
                <w:color w:val="000000"/>
                <w:sz w:val="20"/>
                <w:szCs w:val="20"/>
              </w:rPr>
              <w:t xml:space="preserve">CNN directly on microlensing light curves (quasar disks)</w:t>
            </w:r>
          </w:p>
        </w:tc>
      </w:tr>
      <w:tr>
        <w:trPr>
          <w:tblHeader w:val="false"/>
        </w:trPr>
        <w:tc>
          <w:tcPr>
            <w:tcW w:type="dxa" w:w="2700"/>
            <w:tcMar>
              <w:top w:type="dxa" w:w="100"/>
              <w:left w:type="dxa" w:w="120"/>
              <w:bottom w:type="dxa" w:w="100"/>
              <w:right w:type="dxa" w:w="120"/>
            </w:tcMar>
          </w:tcPr>
          <w:p>
            <w:r>
              <w:rPr>
                <w:b w:val="false"/>
                <w:bCs w:val="false"/>
                <w:color w:val="000000"/>
                <w:sz w:val="20"/>
                <w:szCs w:val="20"/>
              </w:rPr>
              <w:t xml:space="preserve">Black Hole Hunters</w:t>
            </w:r>
          </w:p>
        </w:tc>
        <w:tc>
          <w:tcPr>
            <w:tcW w:type="dxa" w:w="1400"/>
            <w:tcMar>
              <w:top w:type="dxa" w:w="100"/>
              <w:left w:type="dxa" w:w="120"/>
              <w:bottom w:type="dxa" w:w="100"/>
              <w:right w:type="dxa" w:w="120"/>
            </w:tcMar>
          </w:tcPr>
          <w:p>
            <w:r>
              <w:rPr>
                <w:b w:val="false"/>
                <w:bCs w:val="false"/>
                <w:color w:val="000000"/>
                <w:sz w:val="20"/>
                <w:szCs w:val="20"/>
              </w:rPr>
              <w:t xml:space="preserve">ongoing</w:t>
            </w:r>
          </w:p>
        </w:tc>
        <w:tc>
          <w:tcPr>
            <w:tcW w:type="dxa" w:w="5250"/>
            <w:tcMar>
              <w:top w:type="dxa" w:w="100"/>
              <w:left w:type="dxa" w:w="120"/>
              <w:bottom w:type="dxa" w:w="100"/>
              <w:right w:type="dxa" w:w="120"/>
            </w:tcMar>
          </w:tcPr>
          <w:p>
            <w:r>
              <w:rPr>
                <w:b w:val="false"/>
                <w:bCs w:val="false"/>
                <w:color w:val="000000"/>
                <w:sz w:val="20"/>
                <w:szCs w:val="20"/>
              </w:rPr>
              <w:t xml:space="preserve">Citizen science + microlensing, already combined — no paper yet</w:t>
            </w:r>
          </w:p>
        </w:tc>
      </w:tr>
    </w:tbl>
    <w:p>
      <w:r>
        <w:br w:type="page"/>
      </w:r>
    </w:p>
    <w:p>
      <w:pPr>
        <w:pStyle w:val="Heading1"/>
        <w:spacing w:after="200" w:before="400"/>
      </w:pPr>
      <w:r>
        <w:t xml:space="preserve">1. Paczyński (1986) — the founding paper</w:t>
      </w:r>
    </w:p>
    <w:p>
      <w:pPr>
        <w:spacing w:after="200"/>
      </w:pPr>
      <w:r>
        <w:rPr>
          <w:i/>
          <w:iCs/>
          <w:color w:val="555555"/>
        </w:rPr>
        <w:t xml:space="preserve">B. Paczyński, "Gravitational microlensing by the galactic halo," The Astrophysical Journal, 304, 1–5 (1986). DOI: 10.1086/164140.</w:t>
      </w:r>
    </w:p>
    <w:p>
      <w:pPr>
        <w:spacing w:after="150"/>
      </w:pPr>
      <w:r>
        <w:rPr>
          <w:b/>
          <w:bCs/>
        </w:rPr>
        <w:t xml:space="preserve">What it does:  </w:t>
      </w:r>
      <w:r>
        <w:t xml:space="preserve">A five-page proposal, not an observational paper. Paczyński worked out that if the Milky Way's dark-matter halo is made of compact objects in a certain mass range, a background star will occasionally pass close enough to one, in projection, that its light gets magnified for a period of hours to years, depending on the lens mass. He showed that if this population of compact objects makes up the halo, monitoring a few million stars in the Magellanic Clouds ought to catch a handful of these brightenings.</w:t>
      </w:r>
    </w:p>
    <w:p>
      <w:pPr>
        <w:spacing w:after="150"/>
      </w:pPr>
      <w:r>
        <w:rPr>
          <w:b/>
          <w:bCs/>
        </w:rPr>
        <w:t xml:space="preserve">Key contribution:  </w:t>
      </w:r>
      <w:r>
        <w:t xml:space="preserve">The mass range it predicts as detectable runs from roughly a millionth of a solar mass up to about a solar mass, and the expected optical depth is about one star in a million being magnified at any given time. It also lays out the defining signature of a single, ordinary microlensing event: a smooth, symmetric, achromatic brightening and fading, following what's now called a Paczyński curve.</w:t>
      </w:r>
    </w:p>
    <w:p>
      <w:pPr>
        <w:spacing w:after="150"/>
      </w:pPr>
      <w:r>
        <w:rPr>
          <w:b/>
          <w:bCs/>
        </w:rPr>
        <w:t xml:space="preserve">What happened next:  </w:t>
      </w:r>
      <w:r>
        <w:t xml:space="preserve">This proposal directly caused OGLE, MACHO, EROS, and later KMTNet to exist as large-scale monitoring surveys. Every dataset your training and validation splits draw on traces back to somebody trying to realize this exact idea.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This is the paper that makes microlensing exist as a method at all, so it belongs in your introduction regardless of anything else. It's also useful for a second reason: it defines the 'boring,' single-lens light curve shape that your anomaly detector is implicitly trying to distinguish itself from. Anomalous events, in your framing, are departures from exactly this Paczyński curve.</w:t>
            </w:r>
          </w:p>
        </w:tc>
      </w:tr>
    </w:tbl>
    <w:p>
      <w:pPr>
        <w:spacing w:after="200"/>
      </w:pPr>
    </w:p>
    <w:p>
      <w:pPr>
        <w:pStyle w:val="Heading1"/>
        <w:spacing w:after="200" w:before="400"/>
      </w:pPr>
      <w:r>
        <w:t xml:space="preserve">2. Plank (2022) — naming the problem</w:t>
      </w:r>
    </w:p>
    <w:p>
      <w:pPr>
        <w:spacing w:after="200"/>
      </w:pPr>
      <w:r>
        <w:rPr>
          <w:i/>
          <w:iCs/>
          <w:color w:val="555555"/>
        </w:rPr>
        <w:t xml:space="preserve">B. Plank, "The 'Problem' of Human Label Variation: On Ground Truth in Data, Modeling and Evaluation," arXiv:2211.02570, presented at EMNLP 2022.</w:t>
      </w:r>
    </w:p>
    <w:p>
      <w:pPr>
        <w:spacing w:after="150"/>
      </w:pPr>
      <w:r>
        <w:rPr>
          <w:b/>
          <w:bCs/>
        </w:rPr>
        <w:t xml:space="preserve">What it does:  </w:t>
      </w:r>
      <w:r>
        <w:t xml:space="preserve">A position paper arguing that machine learning has a bad habit: it treats disagreement between human annotators as something to average away, on the assumption that a single correct label exists for every item. Plank names this assumption's failure mode Human Label Variation (HLV) and argues it isn't noise at all in many cases, it's genuine, irreducible variation caused by ambiguity, subjectivity, or the fact that more than one answer is actually defensible.</w:t>
      </w:r>
    </w:p>
    <w:p>
      <w:pPr>
        <w:spacing w:after="150"/>
      </w:pPr>
      <w:r>
        <w:rPr>
          <w:b/>
          <w:bCs/>
        </w:rPr>
        <w:t xml:space="preserve">Structure:  </w:t>
      </w:r>
      <w:r>
        <w:t xml:space="preserve">The paper walks through HLV's effect on all three stages of a typical pipeline. In data collection, she argues for releasing raw, un-aggregated annotator-level labels rather than only the majority vote. In modeling, she splits the field into two camps: methods that resolve variation away (majority-vote aggregation, or filtering out low-agreement items) versus methods that embrace it (training directly on soft labels, or on the raw distribution of annotator votes). In evaluation, she argues that scoring a model only against a single gold label understates how reasonable, calibrated, or trustworthy it actually is, and surveys soft-label metrics like cross-entropy against the human vote distribution, entropy correlation, and KL divergence as better alternatives.</w:t>
      </w:r>
    </w:p>
    <w:p>
      <w:pPr>
        <w:spacing w:after="150"/>
      </w:pPr>
      <w:r>
        <w:rPr>
          <w:b/>
          <w:bCs/>
        </w:rPr>
        <w:t xml:space="preserve">A detail worth knowing:  </w:t>
      </w:r>
      <w:r>
        <w:t xml:space="preserve">The paper traces probabilistic aggregation back to Dawid and Skene's 1979 EM-based model of annotator error rates, which is the ancestor of most modern crowd-consensus algorithms, including the kind your lenswatch.dev aggregation logic is built on. It also points to Zhang and Plank (2021), 'Cartography Active Learning,' which uses ambiguous training instances (identified via training dynamics rather than annotator votes) to guide active learning — a different route to a similar intuition as yours, worth knowing about even though it isn't in your source catalog.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This is the paper that gives you your vocabulary and your central fork in the road. The 'resolve vs. embrace' split is exactly the distinction you need to draw between how Astronomaly and most Zooniverse tools treat volunteer votes (resolve, via majority vote) and what DISCORD does (embrace, by treating the disagreement itself as informative). This embrace mechanism is fully implemented (server.js's weighted consensus splits votes into consensus vs. anomaly at a 60% threshold; retrain_from_votes.py trains the anomaly split as a third CLASS_AMBIGUOUS label) — but whether embracing it this way actually improves anomaly recall has since been tested directly and returned a genuine null, at two data scales (see the closing section). Cite Plank for the framing regardless; the empirical test of the framing's practical payoff is DISCORD's own contribution, positive result or not.</w:t>
            </w:r>
          </w:p>
        </w:tc>
      </w:tr>
    </w:tbl>
    <w:p>
      <w:pPr>
        <w:spacing w:after="200"/>
      </w:pPr>
    </w:p>
    <w:p>
      <w:pPr>
        <w:pStyle w:val="Heading1"/>
        <w:spacing w:after="200" w:before="400"/>
      </w:pPr>
      <w:r>
        <w:t xml:space="preserve">3. Uma, Fornaciari, Hovy, Paun, Plank &amp; Poesio (2021) — the survey</w:t>
      </w:r>
    </w:p>
    <w:p>
      <w:pPr>
        <w:spacing w:after="200"/>
      </w:pPr>
      <w:r>
        <w:rPr>
          <w:i/>
          <w:iCs/>
          <w:color w:val="555555"/>
        </w:rPr>
        <w:t xml:space="preserve">A. N. Uma, T. Fornaciari, D. Hovy, S. Paun, B. Plank, M. Poesio, "Learning from Disagreement: A Survey," Journal of Artificial Intelligence Research, 72, 1385–1470 (2021). DOI: 10.1613/jair.1.12752.</w:t>
      </w:r>
    </w:p>
    <w:p>
      <w:pPr>
        <w:spacing w:after="150"/>
      </w:pPr>
      <w:r>
        <w:rPr>
          <w:b/>
          <w:bCs/>
        </w:rPr>
        <w:t xml:space="preserve">What it does:  </w:t>
      </w:r>
      <w:r>
        <w:t xml:space="preserve">An 85-page survey covering both NLP and computer vision, cataloguing the evidence that humans disagree on tasks ranging from part-of-speech tagging to image classification to natural language inference, and reviewing the methods that have been proposed to learn from that disagreement directly rather than discarding it.</w:t>
      </w:r>
    </w:p>
    <w:p>
      <w:pPr>
        <w:spacing w:after="150"/>
      </w:pPr>
      <w:r>
        <w:rPr>
          <w:b/>
          <w:bCs/>
        </w:rPr>
        <w:t xml:space="preserve">What it covers:  </w:t>
      </w:r>
      <w:r>
        <w:t xml:space="preserve">Model-agnostic approaches like repeated labelling, architecture-specific approaches like adding a dedicated 'crowd layer,' training on soft labels drawn from the annotator vote distribution, and multi-task setups that predict individual annotator behaviour alongside the main task. It also reviews probabilistic models of annotation (the Dawid-Skene lineage) and evaluation metrics designed for settings where no single gold label exists.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This is your single best citation for establishing that 'learning from disagreement' is an actual, named, cross-disciplinary research area rather than something you're claiming to have invented. It's also a practical resource: any of the technique families it catalogues (soft-label training, crowd layers, multi-task disagreement prediction) is a legitimate alternative or ablation to mention alongside DISCORD's actual mechanism (a weighted-consensus threshold plus a third CLASS_AMBIGUOUS training label for disagreement) in a related-work paragraph — not alongside BALD, which was tested as a separate, independent mechanism in July 2026 and did not work (see the closing section).</w:t>
            </w:r>
          </w:p>
        </w:tc>
      </w:tr>
    </w:tbl>
    <w:p>
      <w:pPr>
        <w:spacing w:after="200"/>
      </w:pPr>
    </w:p>
    <w:p>
      <w:pPr>
        <w:pStyle w:val="Heading1"/>
        <w:spacing w:after="200" w:before="400"/>
      </w:pPr>
      <w:r>
        <w:t xml:space="preserve">4. Houlsby, Huszár, Ghahramani &amp; Lengyel (2011) — the origin of BALD</w:t>
      </w:r>
    </w:p>
    <w:p>
      <w:pPr>
        <w:spacing w:after="200"/>
      </w:pPr>
      <w:r>
        <w:rPr>
          <w:i/>
          <w:iCs/>
          <w:color w:val="555555"/>
        </w:rPr>
        <w:t xml:space="preserve">N. Houlsby, F. Huszár, Z. Ghahramani, M. Lengyel, "Bayesian Active Learning for Classification and Preference Learning," arXiv:1112.5745 (2011).</w:t>
      </w:r>
    </w:p>
    <w:p>
      <w:pPr>
        <w:spacing w:after="150"/>
      </w:pPr>
      <w:r>
        <w:rPr>
          <w:b/>
          <w:bCs/>
        </w:rPr>
        <w:t xml:space="preserve">What it does:  </w:t>
      </w:r>
      <w:r>
        <w:t xml:space="preserve">Proposes an active-learning acquisition criterion based on mutual information: instead of just querying the point the model is most uncertain about, query the point where the model's uncertainty is actually reducible, meaning different plausible settings of the model's parameters would predict differently for that point. Originally framed around Gaussian Process classifiers.</w:t>
      </w:r>
    </w:p>
    <w:p>
      <w:pPr>
        <w:spacing w:after="150"/>
      </w:pPr>
      <w:r>
        <w:rPr>
          <w:b/>
          <w:bCs/>
        </w:rPr>
        <w:t xml:space="preserve">The key idea:  </w:t>
      </w:r>
      <w:r>
        <w:t xml:space="preserve">This distinguishes two very different reasons a model can be uncertain about a prediction. One is epistemic: the model just hasn't seen enough data like this yet, and a label would genuinely help. The other is aleatoric: the data point itself is inherently ambiguous, and no amount of labelling will resolve it, because different reasonable observers would label it differently. BALD (Bayesian Active Learning by Disagreement) is designed to chase the first kind and route around the second.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CORRECTED 2026-07-27: this paper was originally described here as the origin of "the acquisition function your pipeline uses." That was inaccurate — BALD was never implemented in DISCORD. Nothing in code/ computed mutual information or ran a stochastic forward pass; volunteer routing was always a single deterministic sigmoid pass against a tuned threshold. BALD has since been implemented specifically to test it (code/mc_dropout_headroom_check.py) and did not help — see the MC Dropout entry below and the new closing section for the numbers. The paper still matters, because it sits in productive tension with DISCORD's actual thesis. Houlsby's BALD is built to steer active learning away from the second kind of uncertainty (irreducible ambiguity) because it's normally treated as wasted query budget. DISCORD's argument is that, in your specific setting, some of what looks like irreducible ambiguity in citizen-science labels is actually where the interesting sub-threshold events hide. That tension is now resolved empirically, and not in DISCORD's favour: when BALD was actually run, isolating epistemic uncertainty performed WORSE than simply using total predictive uncertainty. Houlsby's instinct to separate the two kinds is sound; the finding here is that in this setting the aleatoric component being discarded was carrying most of the discriminative signal. Cite this paper as the origin of a method DISCORD tested and rejected with evidence, not as a description of the deployed pipeline.</w:t>
            </w:r>
          </w:p>
        </w:tc>
      </w:tr>
    </w:tbl>
    <w:p>
      <w:pPr>
        <w:spacing w:after="200"/>
      </w:pPr>
    </w:p>
    <w:p>
      <w:pPr>
        <w:pStyle w:val="Heading1"/>
        <w:spacing w:after="200" w:before="400"/>
      </w:pPr>
      <w:r>
        <w:t xml:space="preserve">5. Gal &amp; Ghahramani (2016) — MC Dropout, the missing link</w:t>
      </w:r>
    </w:p>
    <w:p>
      <w:pPr>
        <w:spacing w:after="200"/>
      </w:pPr>
      <w:r>
        <w:rPr>
          <w:i/>
          <w:iCs/>
          <w:color w:val="555555"/>
        </w:rPr>
        <w:t xml:space="preserve">Y. Gal, Z. Ghahramani, "Dropout as a Bayesian Approximation: Representing Model Uncertainty in Deep Learning," Proceedings of the 33rd ICML, PMLR 48:1050-1059 (2016). arXiv:1506.02142.</w:t>
      </w:r>
    </w:p>
    <w:p>
      <w:pPr>
        <w:spacing w:after="150"/>
      </w:pPr>
      <w:r>
        <w:rPr>
          <w:b/>
          <w:bCs/>
        </w:rPr>
        <w:t xml:space="preserve">What it does:  </w:t>
      </w:r>
      <w:r>
        <w:t xml:space="preserve">Shows, mathematically, that if you leave dropout switched on at test time (rather than only during training) and run the same input through the network multiple times, the resulting spread of predictions is a valid approximation to Bayesian inference in a deep Gaussian process. In plain terms: an ordinary dropout-regularised neural network already contains an approximate Bayesian model inside it, and you can extract calibrated-ish uncertainty estimates from it almost for free.</w:t>
      </w:r>
    </w:p>
    <w:p>
      <w:pPr>
        <w:spacing w:after="150"/>
      </w:pPr>
      <w:r>
        <w:rPr>
          <w:b/>
          <w:bCs/>
        </w:rPr>
        <w:t xml:space="preserve">The practical recipe:  </w:t>
      </w:r>
      <w:r>
        <w:t xml:space="preserve">Run several stochastic forward passes with dropout active, and use the variance or entropy across those passes as your uncertainty estimate. This is universally referred to as MC Dropout.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This is the missing bridge between Houlsby's BALD (which needs a Bayesian posterior to compute mutual information) and a practical 1D CNN over light curves (which doesn't have one by default). CORRECTED 2026-07-27: this was originally written as "very likely the exact mechanism your pipeline uses." It was not — MC Dropout appeared nowhere in DISCORD's codebase. MicrolensingCNN does carry Dropout(0.3) layers, but model.eval() disabled them at inference exactly like ordinary (non-Bayesian) prediction. It has since been implemented and tested precisely because this document assumed it was already in use. One implementation detail worth recording for anyone repeating this: naively calling model.train() to re-enable Dropout also reverts BatchNorm to batch statistics instead of its learned running statistics, which corrupts inference; only the nn.Dropout submodules should be re-enabled.</w:t>
            </w:r>
          </w:p>
        </w:tc>
      </w:tr>
    </w:tbl>
    <w:p>
      <w:pPr>
        <w:spacing w:after="200"/>
      </w:pPr>
    </w:p>
    <w:p>
      <w:pPr>
        <w:pStyle w:val="Heading1"/>
        <w:spacing w:after="200" w:before="400"/>
      </w:pPr>
      <w:r>
        <w:t xml:space="preserve">6. Lochner &amp; Bassett (2021) — Astronomaly</w:t>
      </w:r>
    </w:p>
    <w:p>
      <w:pPr>
        <w:spacing w:after="200"/>
      </w:pPr>
      <w:r>
        <w:rPr>
          <w:i/>
          <w:iCs/>
          <w:color w:val="555555"/>
        </w:rPr>
        <w:t xml:space="preserve">M. Lochner, B. A. Bassett, "Astronomaly: Personalised Active Anomaly Detection in Astronomical Data," Astronomy and Computing, 36, 100481 (2021). arXiv:2010.11202.</w:t>
      </w:r>
    </w:p>
    <w:p>
      <w:pPr>
        <w:spacing w:after="150"/>
      </w:pPr>
      <w:r>
        <w:rPr>
          <w:b/>
          <w:bCs/>
        </w:rPr>
        <w:t xml:space="preserve">What it does:  </w:t>
      </w:r>
      <w:r>
        <w:t xml:space="preserve">A framework built for the coming Rubin Observatory / SKA data volumes, where most collected data will never be seen by a human at all. It runs an unsupervised anomaly-scoring backend over feature representations of astronomical objects, then layers active learning on top: a single human expert gives binary interesting/not-interesting feedback on a small number of flagged candidates, and that feedback re-ranks the remaining candidates toward what this particular scientist cares about, which is where 'personalised' in the title comes from.</w:t>
      </w:r>
    </w:p>
    <w:p>
      <w:pPr>
        <w:spacing w:after="150"/>
      </w:pPr>
      <w:r>
        <w:rPr>
          <w:b/>
          <w:bCs/>
        </w:rPr>
        <w:t xml:space="preserve">Key idea:  </w:t>
      </w:r>
      <w:r>
        <w:t xml:space="preserve">Statistically rare is not the same as scientifically interesting. Plenty of outliers are just instrumental artefacts (bad pixels, cosmic ray hits), and the personalisation loop exists specifically to steer the ranking away from that kind of junk and toward genuine anomalies, using one expert's serial corrections rather than a crowd.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This is the paper you are most directly positioned against. Two structural differences are worth stating precisely in your text: first, Astronomaly's human signal is one expert's binary labels given serially, while DISCORD's signal is disagreement across many non-expert volunteers; second, Astronomaly treats the human feedback as a ranking function bolted onto an otherwise unsupervised detector, while DISCORD treats disagreement as a training signal fed back into the model itself as a third CLASS_AMBIGUOUS training label (retrain_from_votes.py) — not through BALD, which was tested as a wholly separate mechanism in July 2026 and did not help (see the closing section). Naming both differences explicitly is what turns 'we did something similar to Astronomaly' into an actual contribution claim.</w:t>
            </w:r>
          </w:p>
        </w:tc>
      </w:tr>
    </w:tbl>
    <w:p>
      <w:pPr>
        <w:spacing w:after="200"/>
      </w:pPr>
    </w:p>
    <w:p>
      <w:pPr>
        <w:pStyle w:val="Heading1"/>
        <w:spacing w:after="200" w:before="400"/>
      </w:pPr>
      <w:r>
        <w:t xml:space="preserve">7. Walmsley et al. (2019) — the closest architectural blueprint</w:t>
      </w:r>
    </w:p>
    <w:p>
      <w:pPr>
        <w:spacing w:after="200"/>
      </w:pPr>
      <w:r>
        <w:rPr>
          <w:i/>
          <w:iCs/>
          <w:color w:val="555555"/>
        </w:rPr>
        <w:t xml:space="preserve">M. Walmsley, L. Smith, C. Lintott, Y. Gal, S. Bamford, H. Dickinson, L. Fortson, S. Kruk, K. Masters, C. Scarlata, B. Simmons, R. Smethurst, D. Wright, "Galaxy Zoo: Probabilistic Morphology through Bayesian CNNs and Active Learning," MNRAS 491(2), 1554-1574 (2020). arXiv:1905.07424.</w:t>
      </w:r>
    </w:p>
    <w:p>
      <w:pPr>
        <w:spacing w:after="150"/>
      </w:pPr>
      <w:r>
        <w:rPr>
          <w:b/>
          <w:bCs/>
        </w:rPr>
        <w:t xml:space="preserve">What it does:  </w:t>
      </w:r>
      <w:r>
        <w:t xml:space="preserve">Trains a Bayesian CNN, using MC Dropout, directly on Galaxy Zoo volunteer vote fractions, so that instead of predicting a single morphology label, the network predicts a full posterior distribution matching how volunteers actually voted, complete with calibrated confidence (their reported coverage error is 11.8% for bar-detection, at a vote-fraction deviation of 0.2). It then applies BALD, computed via those same MC Dropout passes, to decide which galaxies would benefit most from additional volunteer votes.</w:t>
      </w:r>
    </w:p>
    <w:p>
      <w:pPr>
        <w:spacing w:after="150"/>
      </w:pPr>
      <w:r>
        <w:rPr>
          <w:b/>
          <w:bCs/>
        </w:rPr>
        <w:t xml:space="preserve">Key result:  </w:t>
      </w:r>
      <w:r>
        <w:t xml:space="preserve">This active-learning loop cuts the number of labelled galaxies needed by 35-60%, depending on the specific morphological feature being classified, for the same downstream accuracy.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This is architecturally the nearest published relative to DISCORD as a whole system: Bayesian CNN, MC Dropout, BALD, and volunteer votes, all working together in a live Zooniverse deployment. The distinction worth drawing precisely: Walmsley's network is trained to predict the volunteer vote-fraction distribution itself, meaning disagreement becomes the output the model is learning to reproduce, and BALD is then used only to decide who to query next. DISCORD, by your framing, treats disagreement more directly as an input signal correlated with anomalous or sub-threshold events, not merely a distribution to be modelled and reproduced. Be explicit in your text about which of these two roles disagreement is playing in your own pipeline, since this paper is the reference point either way. In DISCORD's actual implementation it ends up playing neither: disagreement isn't modelled as a vote-fraction distribution (Walmsley's role for it), and once tested directly as an input signal correlated with anomalies, it did not measurably help either (see the closing section) — a third outcome this paper doesn't anticipate, worth stating plainly rather than forcing the comparison into one of Walmsley's two categories.</w:t>
            </w:r>
          </w:p>
        </w:tc>
      </w:tr>
    </w:tbl>
    <w:p>
      <w:pPr>
        <w:spacing w:after="200"/>
      </w:pPr>
    </w:p>
    <w:p>
      <w:pPr>
        <w:pStyle w:val="Heading1"/>
        <w:spacing w:after="200" w:before="400"/>
      </w:pPr>
      <w:r>
        <w:t xml:space="preserve">8. Marshall et al. (2015) — Space Warps and the SWAP algorithm</w:t>
      </w:r>
    </w:p>
    <w:p>
      <w:pPr>
        <w:spacing w:after="200"/>
      </w:pPr>
      <w:r>
        <w:rPr>
          <w:i/>
          <w:iCs/>
          <w:color w:val="555555"/>
        </w:rPr>
        <w:t xml:space="preserve">P. J. Marshall, A. Verma, A. More, C. P. Davis, S. More, A. Kapadia, M. Parrish, C. Snyder, J. Wilcox, E. Baeten, C. Macmillan, C. Cornen, M. Baumer, E. Simpson, C. J. Lintott, D. Miller, E. Paget, R. Simpson, A. M. Smith, R. Küng, P. Saha, T. E. Collett, M. Tecza, "Space Warps: I. Crowd-sourcing the Discovery of Gravitational Lenses," MNRAS 455(2), 1171-1190 (2016). arXiv:1504.06148.</w:t>
      </w:r>
    </w:p>
    <w:p>
      <w:pPr>
        <w:spacing w:after="150"/>
      </w:pPr>
      <w:r>
        <w:rPr>
          <w:b/>
          <w:bCs/>
        </w:rPr>
        <w:t xml:space="preserve">What it does:  </w:t>
      </w:r>
      <w:r>
        <w:t xml:space="preserve">Describes a Zooniverse-based platform where volunteers inspect colour composite images from the CFHT Legacy Survey and mark candidate lensed features. Known simulated lenses and confirmed non-lenses are continuously and randomly injected into the image stream, giving each volunteer instant feedback and letting the system build a personal reliability model, essentially a confusion matrix, for every individual classifier.</w:t>
      </w:r>
    </w:p>
    <w:p>
      <w:pPr>
        <w:spacing w:after="150"/>
      </w:pPr>
      <w:r>
        <w:rPr>
          <w:b/>
          <w:bCs/>
        </w:rPr>
        <w:t xml:space="preserve">The SWAP algorithm:  </w:t>
      </w:r>
      <w:r>
        <w:t xml:space="preserve">Combines many volunteers' classifications, weighted by each volunteer's calibrated reliability, into a running probability that a given image contains a lens. Images are retired from the active queue once their probability becomes confidently high or low, concentrating remaining volunteer effort on the genuinely ambiguous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This is the direct ancestor of the weighted-consensus scheme actually built into lenswatch.dev: server.js computes each volunteer's weight from gold-standard accuracy (fetchUserWeights) and folds it into a weighted-majority vote (computeConsensus), invisibly mixing gold-standard subjects into the queue (goldStandardPool, the gold_easy tier) — the same problem SWAP's confusion-matrix calibration solves: volunteers vary hugely in reliability, there's no ground truth for most images to calibrate against directly, and remaining effort should concentrate on genuinely unresolved cases (DISCORD's tiered-pool redesign, 2026-07-23, arrived at a version of this same idea independently once the detector became too well-separated for a simple threshold-distance queue to mean anything). The implemented version is a simpler accuracy-ratio weighting, not a full confusion matrix — read the actual update equations here if extending it further.</w:t>
            </w:r>
          </w:p>
        </w:tc>
      </w:tr>
    </w:tbl>
    <w:p>
      <w:pPr>
        <w:spacing w:after="200"/>
      </w:pPr>
    </w:p>
    <w:p>
      <w:pPr>
        <w:pStyle w:val="Heading1"/>
        <w:spacing w:after="200" w:before="400"/>
      </w:pPr>
      <w:r>
        <w:t xml:space="preserve">9. Andersson et al. (2024/2025) — the MeerKAT radio transients paper</w:t>
      </w:r>
    </w:p>
    <w:p>
      <w:pPr>
        <w:spacing w:after="200"/>
      </w:pPr>
      <w:r>
        <w:rPr>
          <w:i/>
          <w:iCs/>
          <w:color w:val="555555"/>
        </w:rPr>
        <w:t xml:space="preserve">A. Andersson, C. Lintott, R. Fender, M. Lochner, et al., "Finding radio transients with anomaly detection and active learning based on volunteer classifications," MNRAS 538(3), 1397 (2025). arXiv:2410.01034.</w:t>
      </w:r>
    </w:p>
    <w:p>
      <w:pPr>
        <w:spacing w:after="150"/>
      </w:pPr>
      <w:r>
        <w:rPr>
          <w:b/>
          <w:bCs/>
        </w:rPr>
        <w:t xml:space="preserve">What it does:  </w:t>
      </w:r>
      <w:r>
        <w:t xml:space="preserve">Applies the Astronomaly anomaly-detection package (paper 6, above) to 8,874 light curves from MeerKAT's ThunderKAT commensal survey at 1.3 GHz, using three different feature-extraction schemes to score each light curve's anomalousness. The resulting rankings are then checked against citizen-science classifications drawn from a separate Zooniverse project (Andersson et al. 2023), used as a stand-in ground truth for which light curves are genuine transients or variables.</w:t>
      </w:r>
    </w:p>
    <w:p>
      <w:pPr>
        <w:spacing w:after="150"/>
      </w:pPr>
      <w:r>
        <w:rPr>
          <w:b/>
          <w:bCs/>
        </w:rPr>
        <w:t xml:space="preserve">Key result:  </w:t>
      </w:r>
      <w:r>
        <w:t xml:space="preserve">Ranking by anomaly score and looking only at the top 10% of the data recovers more than half of the transients the volunteers had confirmed, a large enrichment over blind inspection of the full dataset.</w:t>
      </w:r>
    </w:p>
    <w:p>
      <w:pPr>
        <w:spacing w:after="150"/>
      </w:pPr>
      <w:r>
        <w:rPr>
          <w:b/>
          <w:bCs/>
        </w:rPr>
        <w:t xml:space="preserve">An important precision to make in your own writing:  </w:t>
      </w:r>
      <w:r>
        <w:t xml:space="preserve">This paper does not use disagreement among volunteers as a training signal. It uses the citizen-science consensus labels purely as an evaluation set to score an otherwise unsupervised anomaly detector. It is your closest neighbour by subject matter (time-series light curves, the same Astronomaly tooling family, the same anomaly-detection-plus-citizen-science framing) but it is not a precedent for disagreement-as-training-signal specifically.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State this distinction explicitly and early in your related work: this paper establishes that anomaly detection validated against citizen-science labels works well in a structurally similar time-series setting, which supports your general approach, but it treats those labels as a fixed evaluation target rather than as a live signal the model learns from. That gap between validation-only use and active-training use of citizen labels is close to the actual novelty claim DISCORD needs to make.</w:t>
            </w:r>
          </w:p>
        </w:tc>
      </w:tr>
    </w:tbl>
    <w:p>
      <w:pPr>
        <w:spacing w:after="200"/>
      </w:pPr>
    </w:p>
    <w:p>
      <w:pPr>
        <w:pStyle w:val="Heading1"/>
        <w:spacing w:after="200" w:before="400"/>
      </w:pPr>
      <w:r>
        <w:t xml:space="preserve">10. Gómez &amp; O'Ryan (2025) — AnomalyMatch</w:t>
      </w:r>
    </w:p>
    <w:p>
      <w:pPr>
        <w:spacing w:after="200"/>
      </w:pPr>
      <w:r>
        <w:rPr>
          <w:i/>
          <w:iCs/>
          <w:color w:val="555555"/>
        </w:rPr>
        <w:t xml:space="preserve">P. Gómez, D. O'Ryan, "AnomalyMatch: Discovering Rare Objects of Interest with Semi-supervised and Active Learning," arXiv:2505.03509 (2025).</w:t>
      </w:r>
    </w:p>
    <w:p>
      <w:pPr>
        <w:spacing w:after="150"/>
      </w:pPr>
      <w:r>
        <w:rPr>
          <w:b/>
          <w:bCs/>
        </w:rPr>
        <w:t xml:space="preserve">What it does:  </w:t>
      </w:r>
      <w:r>
        <w:t xml:space="preserve">Combines the FixMatch semi-supervised learning algorithm (which pseudo-labels unlabelled data using confident predictions on weakly-augmented versions of an image, then trains on strongly-augmented versions to match those pseudo-labels) with an EfficientNet classifier backbone and an active-learning interface, built with ipywidgets, that lets a human verify high-confidence anomaly candidates and correct false positives.</w:t>
      </w:r>
    </w:p>
    <w:p>
      <w:pPr>
        <w:spacing w:after="150"/>
      </w:pPr>
      <w:r>
        <w:rPr>
          <w:b/>
          <w:bCs/>
        </w:rPr>
        <w:t xml:space="preserve">Deployment and results:  </w:t>
      </w:r>
      <w:r>
        <w:t xml:space="preserve">Integrated into ESA's Datalabs science platform, and evaluated on the GalaxyMNIST astronomical benchmark and the general-purpose miniImageNet benchmark under severe class imbalance, with strong results on both.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Useful as a structural analog for your final, deployed pipeline: semi-supervised learning plus active learning plus a human verification interface, purpose-built for the label-scarcity problem anomaly detection always runs into. It is less directly about disagreement as a signal, since its human-in-the-loop step is single-verifier correction rather than multi-annotator disagreement, but it's a good real-world reference if you want concrete interface or training-loop details (their confidence thresholds and EMA momentum settings, for instance) for a deployed system doing roughly your kind of work.</w:t>
            </w:r>
          </w:p>
        </w:tc>
      </w:tr>
    </w:tbl>
    <w:p>
      <w:pPr>
        <w:spacing w:after="200"/>
      </w:pPr>
    </w:p>
    <w:p>
      <w:pPr>
        <w:pStyle w:val="Heading1"/>
        <w:spacing w:after="200" w:before="400"/>
      </w:pPr>
      <w:r>
        <w:t xml:space="preserve">11. Mróz (2020) — neural networks directly on OGLE data</w:t>
      </w:r>
    </w:p>
    <w:p>
      <w:pPr>
        <w:spacing w:after="200"/>
      </w:pPr>
      <w:r>
        <w:rPr>
          <w:i/>
          <w:iCs/>
          <w:color w:val="555555"/>
        </w:rPr>
        <w:t xml:space="preserve">P. Mróz, "Identifying microlensing events using neural networks," arXiv:2008.11930 (2020).</w:t>
      </w:r>
    </w:p>
    <w:p>
      <w:pPr>
        <w:spacing w:after="150"/>
      </w:pPr>
      <w:r>
        <w:rPr>
          <w:b/>
          <w:bCs/>
        </w:rPr>
        <w:t xml:space="preserve">What it does:  </w:t>
      </w:r>
      <w:r>
        <w:t xml:space="preserve">Presents two neural-network classifiers for detecting single-lens and binary-lens microlensing events, built specifically because previous detection approaches relied on strict statistical cuts or exhausting manual light-curve inspection, an approach that especially fails for binary-lens events, which have irregular, hard-to-cut-for light curve shapes and no dedicated selection algorithm in the existing literature.</w:t>
      </w:r>
    </w:p>
    <w:p>
      <w:pPr>
        <w:spacing w:after="150"/>
      </w:pPr>
      <w:r>
        <w:rPr>
          <w:b/>
          <w:bCs/>
        </w:rPr>
        <w:t xml:space="preserve">Data and results:  </w:t>
      </w:r>
      <w:r>
        <w:t xml:space="preserve">Trained and validated on OGLE-III and OGLE-IV, and shown to generalise successfully to an independent survey, the Zwicky Transient Facility. The classifiers correctly recognise about 98% of single-lens events and 80-85% of binary-lens 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This is your closest direct methodological ancestor for the core detection half of DISCORD: a neural classifier trained on exactly the survey family (OGLE) you use as your training and test backbone, explicitly built around the claim that binary-lens and other irregular, anomalous events are the hard, scientifically valuable case that standard statistical cuts miss. Read it closely for the specific preprocessing and feature choices applied to raw OGLE light curves before they're fed to the network, since you are very likely making comparable choices upstream of your own CNN. DISCORD has since run the same kind of check this paper reports (98% single-lens, 80-85% binary-lens recall generalizing to ZTF): the OGLE-trained checkpoint scored against real KMTNet alert candidates, using KMTNet's own published clear/probable/not-ulens classifications as ground truth (code/kmtnet_alert_labels.py, 2026-07-27, not this paper's own labels). Result: AUC 0.6581, recall 0.4326 against 50 confirmed non-events — a real cross-survey signal, but well below Mróz's own single-survey-family numbers. Cite this as a direct, quantitative point of comparison, not an assumed parallel.</w:t>
            </w:r>
          </w:p>
        </w:tc>
      </w:tr>
    </w:tbl>
    <w:p>
      <w:pPr>
        <w:spacing w:after="200"/>
      </w:pPr>
    </w:p>
    <w:p>
      <w:pPr>
        <w:pStyle w:val="Heading1"/>
        <w:spacing w:after="200" w:before="400"/>
      </w:pPr>
      <w:r>
        <w:t xml:space="preserve">12. Vernardos &amp; Tsagkatakis (2019) — CNNs on microlensing light curves, a different regime</w:t>
      </w:r>
    </w:p>
    <w:p>
      <w:pPr>
        <w:spacing w:after="200"/>
      </w:pPr>
      <w:r>
        <w:rPr>
          <w:i/>
          <w:iCs/>
          <w:color w:val="555555"/>
        </w:rPr>
        <w:t xml:space="preserve">G. Vernardos, G. Tsagkatakis, "Quasar microlensing light-curve analysis using deep machine learning," MNRAS 486(2), 1944-1952 (2019). arXiv:1903.09170.</w:t>
      </w:r>
    </w:p>
    <w:p>
      <w:pPr>
        <w:spacing w:after="150"/>
      </w:pPr>
      <w:r>
        <w:rPr>
          <w:b/>
          <w:bCs/>
        </w:rPr>
        <w:t xml:space="preserve">What it does:  </w:t>
      </w:r>
      <w:r>
        <w:t xml:space="preserve">Applies this idea to a different microlensing regime than the rest of your reading list: not the microlensing of a star in the Galactic halo, but the microlensing of a quasar's accretion disc by stars in an intervening lensing galaxy. Trains a CNN on hundreds of thousands of simulated light curves to recover the accretion disc's size and temperature profile directly from the shape of the microlensing signal.</w:t>
      </w:r>
    </w:p>
    <w:p>
      <w:pPr>
        <w:spacing w:after="150"/>
      </w:pPr>
      <w:r>
        <w:rPr>
          <w:b/>
          <w:bCs/>
        </w:rPr>
        <w:t xml:space="preserve">Key finding:  </w:t>
      </w:r>
      <w:r>
        <w:t xml:space="preserve">The detailed shape of the accretion disc's brightness profile turns out to have almost no effect on the recoverable signal, only its overall size matters, which the CNN learns to marginalise over automatically without being told to. The authors note this approach should scale well to the decade-long light curves for thousands of lensed quasars expected from LSST-era surveys.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Different scientific target than DISCORD (accretion-disc structure rather than compact-object classification), but the same core technical move: train a CNN directly on raw, simulated microlensing light curves rather than on hand-engineered summary statistics, and show it recovers physical parameters efficiently at survey scale. Good citation for the general claim that CNNs generalise well across different microlensing regimes when applied directly to light-curve data, and a useful comparison point for your own architecture and preprocessing choices.</w:t>
            </w:r>
          </w:p>
        </w:tc>
      </w:tr>
    </w:tbl>
    <w:p>
      <w:pPr>
        <w:spacing w:after="200"/>
      </w:pPr>
    </w:p>
    <w:p>
      <w:pPr>
        <w:pStyle w:val="Heading1"/>
        <w:spacing w:after="200" w:before="400"/>
      </w:pPr>
      <w:r>
        <w:t xml:space="preserve">13. Black Hole Hunters — citizen science and microlensing, already combined</w:t>
      </w:r>
    </w:p>
    <w:p>
      <w:pPr>
        <w:spacing w:after="200"/>
      </w:pPr>
      <w:r>
        <w:rPr>
          <w:i/>
          <w:iCs/>
          <w:color w:val="555555"/>
        </w:rPr>
        <w:t xml:space="preserve">Open University / University of Southampton, "Black Hole Hunters: A citizen science search for black hole self-lensing." Royal Astronomical Society press release, July 2022; ongoing Zooniverse project.</w:t>
      </w:r>
    </w:p>
    <w:p>
      <w:pPr>
        <w:spacing w:after="150"/>
      </w:pPr>
      <w:r>
        <w:rPr>
          <w:b/>
          <w:bCs/>
        </w:rPr>
        <w:t xml:space="preserve">What it is:  </w:t>
      </w:r>
      <w:r>
        <w:t xml:space="preserve">An active citizen-science project, not (as of the sources available) a published methods paper. Volunteers inspect SuperWASP light curves looking for self-lensing: a compact object such as a black hole or neutron star passing in front of a companion star in a binary system, periodically magnifying its light. This is microlensing occurring inside a binary rather than the single Galactic-halo-crossing event Paczyński originally proposed, and the team's stated aim is to place the first observational constraints on the population of these systems, since none has been conclusively detected yet.</w:t>
      </w:r>
    </w:p>
    <w:p>
      <w:pPr>
        <w:spacing w:after="150"/>
      </w:pPr>
      <w:r>
        <w:rPr>
          <w:b/>
          <w:bCs/>
        </w:rPr>
        <w:t xml:space="preserve">Why no PDF, unlike the other 12:  </w:t>
      </w:r>
      <w:r>
        <w:t xml:space="preserve">The searches used to build your download script turned up press releases, conference posters, and the project's own site, but no peer-reviewed methods paper describing how the team aggregates or quality-controls volunteer classifications. That absence is itself worth noting rather than working around.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F2F7" w:val="clear"/>
            <w:tcMar>
              <w:top w:type="dxa" w:w="150"/>
              <w:left w:type="dxa" w:w="200"/>
              <w:bottom w:type="dxa" w:w="150"/>
              <w:right w:type="dxa" w:w="200"/>
            </w:tcMar>
          </w:tcPr>
          <w:p>
            <w:r>
              <w:rPr>
                <w:b/>
                <w:bCs/>
              </w:rPr>
              <w:t xml:space="preserve">Why this matters for DISCORD:  </w:t>
            </w:r>
            <w:r>
              <w:t xml:space="preserve">By subject matter, this is the single closest existing project to DISCORD: citizen science and microlensing, already combined, in a Zooniverse-style interface. The useful move for your literature review is to state plainly that this project establishes the scientific motivation and public appetite for exactly this combination, while DISCORD's specific methodological contribution, using disagreement itself as an active-learning signal rather than only using consensus votes, doesn't yet have a directly competing publication in this niche. That's a real gap to claim, not just a rhetorical one, since no methods paper for this project has surfaced yet.</w:t>
            </w:r>
          </w:p>
        </w:tc>
      </w:tr>
    </w:tbl>
    <w:p>
      <w:pPr>
        <w:spacing w:after="200"/>
      </w:pPr>
    </w:p>
    <w:p>
      <w:r>
        <w:br w:type="page"/>
      </w:r>
    </w:p>
    <w:p>
      <w:pPr>
        <w:pStyle w:val="Heading1"/>
        <w:spacing w:after="200" w:before="400"/>
      </w:pPr>
      <w:r>
        <w:t xml:space="preserve">How the two halves fit together</w:t>
      </w:r>
    </w:p>
    <w:p>
      <w:pPr>
        <w:spacing w:after="150"/>
      </w:pPr>
      <w:r>
        <w:t xml:space="preserve">Papers 2 and 3 (Plank; Uma et al.) establish the first half of DISCORD's argument: that disagreement between human labellers is often genuine signal, not noise to be averaged away, and that a body of NLP and computer-vision research already treats it that way. Papers 4 and 5 (Houlsby et al.; Gal and Ghahramani) supply what looked like the second half: a concrete, computable way to decide which data points are most worth a model's or a volunteer's attention, using Bayesian active learning made tractable in an ordinary neural network through MC Dropout. DISCORD implemented and tested this in July 2026, and it did not work — see the closing section below.</w:t>
      </w:r>
    </w:p>
    <w:p>
      <w:pPr>
        <w:spacing w:after="150"/>
      </w:pPr>
      <w:r>
        <w:t xml:space="preserve">Papers 6 through 10 are the astronomy papers that have combined pieces of this before, in varying combinations: Astronomaly and Walmsley et al. use active learning with a human in the loop, but treat human feedback as a ranking signal or a target to reproduce, not as a source of information carried in its disagreement. Space Warps and the MeerKAT paper use citizen-science classifications at scale, but as a consensus-weighted vote or a fixed evaluation set, not as a live disagreement signal feeding the model. AnomalyMatch shows a deployed semi-supervised and active-learning system doing broadly this kind of work in practice.</w:t>
      </w:r>
    </w:p>
    <w:p>
      <w:pPr>
        <w:spacing w:after="150"/>
      </w:pPr>
      <w:r>
        <w:t xml:space="preserve">Papers 11 and 12 (Mróz; Vernardos and Tsagkatakis) show that CNNs applied directly to microlensing light curves already work well and generalise across surveys and across regimes, which supports the core detector half of your pipeline independent of the disagreement question entirely. Paper 13 (Black Hole Hunters) shows the appetite for citizen science and microlensing together already exists, with no competing methods paper yet describing how to make disagreement itself do useful work in that setting.</w:t>
      </w:r>
    </w:p>
    <w:p>
      <w:pPr>
        <w:spacing w:after="150"/>
      </w:pPr>
      <w:r>
        <w:t xml:space="preserve">The gap DISCORD is arguing it fills, stated plainly: nobody has yet used human disagreement itself, rather than a consensus vote or an aggregated label, as the active-learning signal for recovering sub-threshold microlensing anomalies. Each paper above either supplies half of that argument, or shows the closest existing attempt at the whole thing, and the shaded boxes throughout this document are written to make the precise distance between DISCORD and each one explicit enough to state directly in your text.</w:t>
      </w:r>
    </w:p>
    <w:p>
      <w:pPr>
        <w:pStyle w:val="Heading1"/>
        <w:spacing w:after="200" w:before="400"/>
      </w:pPr>
      <w:r>
        <w:t xml:space="preserve">What changed after testing: BALD and MC Dropout were tried, and did not work</w:t>
      </w:r>
    </w:p>
    <w:p>
      <w:pPr>
        <w:spacing w:after="150"/>
      </w:pPr>
      <w:r>
        <w:t xml:space="preserve">Added 2026-07-27. This section exists because the document above, as originally written, described BALD (paper 4) and MC Dropout (paper 5) as though they were already working components of DISCORD's pipeline. They were not. That gap was noticed, the methods were then actually implemented and tested, and the result was a clean negative. Recording it here so the literature review and the codebase describe the same system.</w:t>
      </w:r>
    </w:p>
    <w:p>
      <w:pPr>
        <w:spacing w:after="150"/>
      </w:pPr>
      <w:r>
        <w:rPr>
          <w:b/>
          <w:bCs/>
        </w:rPr>
        <w:t xml:space="preserve">What was actually in the pipeline before this test:  </w:t>
      </w:r>
      <w:r>
        <w:t xml:space="preserve">a single deterministic forward pass through a 1D CNN, thresholded on the raw sigmoid probability to decide which light curves go to volunteers. No mutual information, no stochastic sampling, no posterior over model parameters. The disagreement signal DISCORD trains on came entirely from volunteer vote consensus (events below 60% agreement become a third CLASS_AMBIGUOUS training label), which is a different mechanism from BALD in every respect except the word 'disagreement'.</w:t>
      </w:r>
    </w:p>
    <w:p>
      <w:pPr>
        <w:spacing w:after="150"/>
      </w:pPr>
      <w:r>
        <w:rPr>
          <w:b/>
          <w:bCs/>
        </w:rPr>
        <w:t xml:space="preserve">What was tested:  </w:t>
      </w:r>
      <w:r>
        <w:t xml:space="preserve">MC Dropout was implemented (30 stochastic forward passes with Dropout re-enabled and BatchNorm held in eval mode) and used to decompose each light curve's uncertainty into predictive entropy (total uncertainty, obtainable from the averaged prediction alone, requiring no Bayesian machinery) and BALD (the epistemic-only component, i.e. mutual information between the prediction and the dropout-approximated posterior). The question asked was the fair one: does BALD flag a genuinely unseen anomaly class better than plain confidence already does? Two held-out anomaly classes were used, each one excluded from training entirely — NFW (dark-matter-subhalo microlensing) and Binary_ML (binary-lens microlensing) — scored as an out-of-distribution detection AUC, five independent seeds per dataset, paired within seed.</w:t>
      </w:r>
    </w:p>
    <w:p>
      <w:pPr>
        <w:spacing w:after="150"/>
      </w:pPr>
      <w:r>
        <w:rPr>
          <w:b/>
          <w:bCs/>
        </w:rPr>
        <w:t xml:space="preserve">Result:  </w:t>
      </w:r>
      <w:r>
        <w:t xml:space="preserve">BALD lost on both anomaly classes, in all five seeds each. On NFW, BALD reached AUC 0.6462 (standard deviation 0.0392) against plain predictive entropy's 0.6892 (0.0128). On Binary_ML, BALD reached 0.4581 (0.0162) against 0.5178 (0.0232). The margins — roughly -0.043 and -0.060, each about 1.4 to 1.9 times its own standard deviation, unanimous across seeds — clear the evidentiary bar DISCORD applies to all its multi-seed comparisons, in the negative direction. BALD is not merely unhelpful here; it is measurably worse than the naive baseline it was supposed to improve on.</w:t>
      </w:r>
    </w:p>
    <w:p>
      <w:pPr>
        <w:spacing w:after="150"/>
      </w:pPr>
      <w:r>
        <w:rPr>
          <w:b/>
          <w:bCs/>
        </w:rPr>
        <w:t xml:space="preserve">Why, most likely:  </w:t>
      </w:r>
      <w:r>
        <w:t xml:space="preserve">BALD is designed to isolate epistemic uncertainty (the model has not seen data like this before, so a label would genuinely help) and to discard aleatoric uncertainty (the data point is inherently ambiguous, so labelling it resolves nothing). That is exactly the distinction Houlsby et al. built it around. In this setting, however, the unseen anomaly classes are separated from in-distribution data by precisely the kind of signal an ordinary confidence score already captures — how far the raw prediction sits from a confident zero or one. Stripping out the aleatoric component therefore discarded most of what was doing the discriminating.</w:t>
      </w:r>
    </w:p>
    <w:p>
      <w:pPr>
        <w:spacing w:after="150"/>
      </w:pPr>
      <w:r>
        <w:rPr>
          <w:b/>
          <w:bCs/>
        </w:rPr>
        <w:t xml:space="preserve">A second finding in the same experiment:  </w:t>
      </w:r>
      <w:r>
        <w:t xml:space="preserve">even the winning signal is weak on its own. Predictive entropy reached AUC 0.69 on NFW but only 0.52 — barely above chance — on Binary_ML, the harder of the two anomaly classes. Neither uncertainty-based route gives this detector a strong ready-made anomaly alarm.</w:t>
      </w:r>
    </w:p>
    <w:p>
      <w:pPr>
        <w:spacing w:after="150"/>
      </w:pPr>
      <w:r>
        <w:rPr>
          <w:b/>
          <w:bCs/>
        </w:rPr>
        <w:t xml:space="preserve">How this changes the argument:  </w:t>
      </w:r>
      <w:r>
        <w:t xml:space="preserve">DISCORD has now tested two independent candidate mechanisms for recovering sub-threshold anomalies, and both returned genuine nulls. Citizen-science disagreement, fed back as a third training class, did not improve held-out anomaly recognition — confirmed across ten seeds and then again at eighteen times the training data, where the effect shrank rather than sharpened. Model-internal epistemic uncertainty, via the BALD and MC Dropout route this document originally assumed was already deployed, did not either. Both are reportable methods results rather than failures to hide: they rule out two plausible approaches with real multi-seed evidence, and they sharpen what remains genuinely untested, which is whether real volunteer disagreement — as opposed to simulated disagreement or model-derived uncertainty — carries the signal the project's central thesis predicts.</w:t>
      </w:r>
    </w:p>
    <w:p>
      <w:pPr>
        <w:spacing w:after="150"/>
      </w:pPr>
      <w:r>
        <w:rPr>
          <w:b/>
          <w:bCs/>
        </w:rPr>
        <w:t xml:space="preserve">Practical note for the related-work section:  </w:t>
      </w:r>
      <w:r>
        <w:t xml:space="preserve">papers 4 and 5 still belong in the literature review, but the framing must change. They are now the origin papers for a technique DISCORD implemented, evaluated on two anomaly classes across five seeds each, and rejected on evidence — not, as this document originally implied, a description of how the pipeline works. That is a stronger and more defensible citation than the original one, because it is backed by a measurement.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2026-07-27T14:59:12.348Z</dcterms:created>
  <dcterms:modified xsi:type="dcterms:W3CDTF">2026-07-27T14:59:12.348Z</dcterms:modified>
</cp:coreProperties>
</file>

<file path=docProps/custom.xml><?xml version="1.0" encoding="utf-8"?>
<Properties xmlns="http://schemas.openxmlformats.org/officeDocument/2006/custom-properties" xmlns:vt="http://schemas.openxmlformats.org/officeDocument/2006/docPropsVTypes"/>
</file>