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ZYROO Data Analytics Internship</w:t>
      </w:r>
    </w:p>
    <w:p>
      <w:pPr>
        <w:spacing w:after="60"/>
      </w:pPr>
      <w:r>
        <w:rPr>
          <w:b/>
          <w:bCs/>
          <w:color w:val="1F4E78"/>
          <w:sz w:val="28"/>
          <w:szCs w:val="28"/>
        </w:rPr>
        <w:t xml:space="preserve">Week 5 — Advanced Business Intelligence &amp; Decision Analytics</w:t>
      </w:r>
    </w:p>
    <w:p>
      <w:pPr>
        <w:spacing w:after="400"/>
      </w:pPr>
      <w:r>
        <w:rPr>
          <w:i/>
          <w:iCs/>
          <w:color w:val="595959"/>
          <w:sz w:val="20"/>
          <w:szCs w:val="20"/>
        </w:rPr>
        <w:t xml:space="preserve">Ride Analytics &amp; Revenue Intelligence Platform  |  Prepared by Muhammad Suhaib</w:t>
      </w:r>
    </w:p>
    <w:p>
      <w:pPr>
        <w:pStyle w:val="Heading1"/>
        <w:spacing w:after="150" w:before="300"/>
      </w:pPr>
      <w:r>
        <w:t xml:space="preserve">1. Executive Summary</w:t>
      </w:r>
    </w:p>
    <w:p>
      <w:pPr>
        <w:spacing w:after="120"/>
      </w:pPr>
      <w:r>
        <w:t xml:space="preserve">This report upgrades the Week 4 Power BI dashboard into an advanced analytical and decision-support layer for the ride-hailing dataset (cleaned_rides.csv, 120 rides logged across August 1–30, 2026). It documents the data-quality review, the DAX measure library, revenue and segment analysis, cancellation and operational analysis, one what-if scenario, evidence-based insights, and recommendations, all validated in Python/Excel against the same numbers that should appear in Power BI.</w:t>
      </w:r>
    </w:p>
    <w:p>
      <w:pPr>
        <w:spacing w:after="120"/>
      </w:pPr>
      <w:r>
        <w:t xml:space="preserve">Two sections of the original brief — driver performance intelligence and ride-frequency customer segmentation — cannot be built from this dataset because it has no Driver ID and no Customer ID column. Section 8 documents this limitation explicitly rather than fabricating driver or customer identities, and offers the closest available substitutes (route-level and fare-tier analysis).</w:t>
      </w:r>
    </w:p>
    <w:p>
      <w:pPr>
        <w:pStyle w:val="Heading1"/>
        <w:spacing w:after="150" w:before="300"/>
      </w:pPr>
      <w:r>
        <w:t xml:space="preserve">2. Project Progress Recap</w:t>
      </w:r>
    </w:p>
    <w:p>
      <w:pPr>
        <w:pStyle w:val="ListParagraph"/>
        <w:numPr>
          <w:ilvl w:val="0"/>
          <w:numId w:val="2"/>
        </w:numPr>
        <w:spacing w:after="60"/>
      </w:pPr>
      <w:r>
        <w:t xml:space="preserve">Week 2: ride demand, locations, customer behavior, peak periods, and new vs. repeat customers.</w:t>
      </w:r>
    </w:p>
    <w:p>
      <w:pPr>
        <w:pStyle w:val="ListParagraph"/>
        <w:numPr>
          <w:ilvl w:val="0"/>
          <w:numId w:val="2"/>
        </w:numPr>
        <w:spacing w:after="60"/>
      </w:pPr>
      <w:r>
        <w:t xml:space="preserve">Week 3: revenue patterns and driver performance using operational and financial KPIs.</w:t>
      </w:r>
    </w:p>
    <w:p>
      <w:pPr>
        <w:pStyle w:val="ListParagraph"/>
        <w:numPr>
          <w:ilvl w:val="0"/>
          <w:numId w:val="2"/>
        </w:numPr>
        <w:spacing w:after="60"/>
      </w:pPr>
      <w:r>
        <w:t xml:space="preserve">Week 4: an interactive Power BI dashboard with KPIs, visuals, and filters.</w:t>
      </w:r>
    </w:p>
    <w:p>
      <w:pPr>
        <w:pStyle w:val="ListParagraph"/>
        <w:numPr>
          <w:ilvl w:val="0"/>
          <w:numId w:val="2"/>
        </w:numPr>
        <w:spacing w:after="60"/>
      </w:pPr>
      <w:r>
        <w:t xml:space="preserve">Week 5 (this report): advanced data model review, DAX measures, segmentation, cancellation analysis, scenario analysis, and evidence-based insights/recommendations.</w:t>
      </w:r>
    </w:p>
    <w:p>
      <w:pPr>
        <w:pStyle w:val="Heading1"/>
        <w:spacing w:after="150" w:before="300"/>
      </w:pPr>
      <w:r>
        <w:t xml:space="preserve">3. Data Overview &amp; Advanced Data-Quality Review</w:t>
      </w:r>
    </w:p>
    <w:p>
      <w:pPr>
        <w:spacing w:after="120"/>
      </w:pPr>
      <w:r>
        <w:t xml:space="preserve">Dataset: cleaned_rides.csv — 120 rows, 8 source columns (Ride ID, Date, Pickup Location, Drop-off Location, Fare, Payment Method, Ride Status, Rating), covering every day from 2026-08-01 to 2026-08-30.</w:t>
      </w:r>
    </w:p>
    <w:p>
      <w:pPr>
        <w:pStyle w:val="Heading2"/>
        <w:spacing w:after="100" w:before="220"/>
      </w:pPr>
      <w:r>
        <w:t xml:space="preserve">3.1 Checks performed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shd w:fill="1F4E78" w:val="clear"/>
            <w:tcMar>
              <w:top w:type="dxa" w:w="60"/>
              <w:left w:type="dxa" w:w="80"/>
              <w:bottom w:type="dxa" w:w="60"/>
              <w:right w:type="dxa" w:w="80"/>
            </w:tcMar>
          </w:tcPr>
          <w:p>
            <w:pPr>
              <w:jc w:val="left"/>
            </w:pPr>
            <w:r>
              <w:rPr>
                <w:b/>
                <w:bCs/>
                <w:color w:val="FFFFFF"/>
                <w:sz w:val="20"/>
                <w:szCs w:val="20"/>
              </w:rPr>
              <w:t xml:space="preserve">Check</w:t>
            </w:r>
          </w:p>
        </w:tc>
        <w:tc>
          <w:tcPr>
            <w:tcW w:type="dxa" w:w="5300"/>
            <w:shd w:fill="1F4E78" w:val="clear"/>
            <w:tcMar>
              <w:top w:type="dxa" w:w="60"/>
              <w:left w:type="dxa" w:w="80"/>
              <w:bottom w:type="dxa" w:w="60"/>
              <w:right w:type="dxa" w:w="80"/>
            </w:tcMar>
          </w:tcPr>
          <w:p>
            <w:pPr>
              <w:jc w:val="left"/>
            </w:pPr>
            <w:r>
              <w:rPr>
                <w:b/>
                <w:bCs/>
                <w:color w:val="FFFFFF"/>
                <w:sz w:val="20"/>
                <w:szCs w:val="20"/>
              </w:rPr>
              <w:t xml:space="preserve">Result</w:t>
            </w:r>
          </w:p>
        </w:tc>
      </w:tr>
      <w:tr>
        <w:tc>
          <w:tcPr>
            <w:tcW w:type="dxa" w:w="4200"/>
            <w:tcMar>
              <w:top w:type="dxa" w:w="60"/>
              <w:left w:type="dxa" w:w="80"/>
              <w:bottom w:type="dxa" w:w="60"/>
              <w:right w:type="dxa" w:w="80"/>
            </w:tcMar>
          </w:tcPr>
          <w:p>
            <w:pPr>
              <w:jc w:val="left"/>
            </w:pPr>
            <w:r>
              <w:rPr>
                <w:b w:val="false"/>
                <w:bCs w:val="false"/>
                <w:sz w:val="20"/>
                <w:szCs w:val="20"/>
              </w:rPr>
              <w:t xml:space="preserve">Duplicate Ride IDs</w:t>
            </w:r>
          </w:p>
        </w:tc>
        <w:tc>
          <w:tcPr>
            <w:tcW w:type="dxa" w:w="5300"/>
            <w:tcMar>
              <w:top w:type="dxa" w:w="60"/>
              <w:left w:type="dxa" w:w="80"/>
              <w:bottom w:type="dxa" w:w="60"/>
              <w:right w:type="dxa" w:w="80"/>
            </w:tcMar>
          </w:tcPr>
          <w:p>
            <w:pPr>
              <w:jc w:val="left"/>
            </w:pPr>
            <w:r>
              <w:rPr>
                <w:b w:val="false"/>
                <w:bCs w:val="false"/>
                <w:sz w:val="20"/>
                <w:szCs w:val="20"/>
              </w:rPr>
              <w:t xml:space="preserve">0 found — all 120 IDs unique</w:t>
            </w:r>
          </w:p>
        </w:tc>
      </w:tr>
      <w:tr>
        <w:tc>
          <w:tcPr>
            <w:tcW w:type="dxa" w:w="4200"/>
            <w:tcMar>
              <w:top w:type="dxa" w:w="60"/>
              <w:left w:type="dxa" w:w="80"/>
              <w:bottom w:type="dxa" w:w="60"/>
              <w:right w:type="dxa" w:w="80"/>
            </w:tcMar>
          </w:tcPr>
          <w:p>
            <w:pPr>
              <w:jc w:val="left"/>
            </w:pPr>
            <w:r>
              <w:rPr>
                <w:b w:val="false"/>
                <w:bCs w:val="false"/>
                <w:sz w:val="20"/>
                <w:szCs w:val="20"/>
              </w:rPr>
              <w:t xml:space="preserve">Missing keys (Ride ID, Date, locations)</w:t>
            </w:r>
          </w:p>
        </w:tc>
        <w:tc>
          <w:tcPr>
            <w:tcW w:type="dxa" w:w="5300"/>
            <w:tcMar>
              <w:top w:type="dxa" w:w="60"/>
              <w:left w:type="dxa" w:w="80"/>
              <w:bottom w:type="dxa" w:w="60"/>
              <w:right w:type="dxa" w:w="80"/>
            </w:tcMar>
          </w:tcPr>
          <w:p>
            <w:pPr>
              <w:jc w:val="left"/>
            </w:pPr>
            <w:r>
              <w:rPr>
                <w:b w:val="false"/>
                <w:bCs w:val="false"/>
                <w:sz w:val="20"/>
                <w:szCs w:val="20"/>
              </w:rPr>
              <w:t xml:space="preserve">0 missing</w:t>
            </w:r>
          </w:p>
        </w:tc>
      </w:tr>
      <w:tr>
        <w:tc>
          <w:tcPr>
            <w:tcW w:type="dxa" w:w="4200"/>
            <w:tcMar>
              <w:top w:type="dxa" w:w="60"/>
              <w:left w:type="dxa" w:w="80"/>
              <w:bottom w:type="dxa" w:w="60"/>
              <w:right w:type="dxa" w:w="80"/>
            </w:tcMar>
          </w:tcPr>
          <w:p>
            <w:pPr>
              <w:jc w:val="left"/>
            </w:pPr>
            <w:r>
              <w:rPr>
                <w:b w:val="false"/>
                <w:bCs w:val="false"/>
                <w:sz w:val="20"/>
                <w:szCs w:val="20"/>
              </w:rPr>
              <w:t xml:space="preserve">Invalid or out-of-range dates</w:t>
            </w:r>
          </w:p>
        </w:tc>
        <w:tc>
          <w:tcPr>
            <w:tcW w:type="dxa" w:w="5300"/>
            <w:tcMar>
              <w:top w:type="dxa" w:w="60"/>
              <w:left w:type="dxa" w:w="80"/>
              <w:bottom w:type="dxa" w:w="60"/>
              <w:right w:type="dxa" w:w="80"/>
            </w:tcMar>
          </w:tcPr>
          <w:p>
            <w:pPr>
              <w:jc w:val="left"/>
            </w:pPr>
            <w:r>
              <w:rPr>
                <w:b w:val="false"/>
                <w:bCs w:val="false"/>
                <w:sz w:val="20"/>
                <w:szCs w:val="20"/>
              </w:rPr>
              <w:t xml:space="preserve">0 — all dates fall within Aug 2026</w:t>
            </w:r>
          </w:p>
        </w:tc>
      </w:tr>
      <w:tr>
        <w:tc>
          <w:tcPr>
            <w:tcW w:type="dxa" w:w="4200"/>
            <w:tcMar>
              <w:top w:type="dxa" w:w="60"/>
              <w:left w:type="dxa" w:w="80"/>
              <w:bottom w:type="dxa" w:w="60"/>
              <w:right w:type="dxa" w:w="80"/>
            </w:tcMar>
          </w:tcPr>
          <w:p>
            <w:pPr>
              <w:jc w:val="left"/>
            </w:pPr>
            <w:r>
              <w:rPr>
                <w:b w:val="false"/>
                <w:bCs w:val="false"/>
                <w:sz w:val="20"/>
                <w:szCs w:val="20"/>
              </w:rPr>
              <w:t xml:space="preserve">Negative or zero fares</w:t>
            </w:r>
          </w:p>
        </w:tc>
        <w:tc>
          <w:tcPr>
            <w:tcW w:type="dxa" w:w="5300"/>
            <w:tcMar>
              <w:top w:type="dxa" w:w="60"/>
              <w:left w:type="dxa" w:w="80"/>
              <w:bottom w:type="dxa" w:w="60"/>
              <w:right w:type="dxa" w:w="80"/>
            </w:tcMar>
          </w:tcPr>
          <w:p>
            <w:pPr>
              <w:jc w:val="left"/>
            </w:pPr>
            <w:r>
              <w:rPr>
                <w:b w:val="false"/>
                <w:bCs w:val="false"/>
                <w:sz w:val="20"/>
                <w:szCs w:val="20"/>
              </w:rPr>
              <w:t xml:space="preserve">0 found</w:t>
            </w:r>
          </w:p>
        </w:tc>
      </w:tr>
      <w:tr>
        <w:tc>
          <w:tcPr>
            <w:tcW w:type="dxa" w:w="4200"/>
            <w:tcMar>
              <w:top w:type="dxa" w:w="60"/>
              <w:left w:type="dxa" w:w="80"/>
              <w:bottom w:type="dxa" w:w="60"/>
              <w:right w:type="dxa" w:w="80"/>
            </w:tcMar>
          </w:tcPr>
          <w:p>
            <w:pPr>
              <w:jc w:val="left"/>
            </w:pPr>
            <w:r>
              <w:rPr>
                <w:b w:val="false"/>
                <w:bCs w:val="false"/>
                <w:sz w:val="20"/>
                <w:szCs w:val="20"/>
              </w:rPr>
              <w:t xml:space="preserve">Impossible distances</w:t>
            </w:r>
          </w:p>
        </w:tc>
        <w:tc>
          <w:tcPr>
            <w:tcW w:type="dxa" w:w="5300"/>
            <w:tcMar>
              <w:top w:type="dxa" w:w="60"/>
              <w:left w:type="dxa" w:w="80"/>
              <w:bottom w:type="dxa" w:w="60"/>
              <w:right w:type="dxa" w:w="80"/>
            </w:tcMar>
          </w:tcPr>
          <w:p>
            <w:pPr>
              <w:jc w:val="left"/>
            </w:pPr>
            <w:r>
              <w:rPr>
                <w:b w:val="false"/>
                <w:bCs w:val="false"/>
                <w:sz w:val="20"/>
                <w:szCs w:val="20"/>
              </w:rPr>
              <w:t xml:space="preserve">Not applicable — dataset has no distance column</w:t>
            </w:r>
          </w:p>
        </w:tc>
      </w:tr>
      <w:tr>
        <w:tc>
          <w:tcPr>
            <w:tcW w:type="dxa" w:w="4200"/>
            <w:tcMar>
              <w:top w:type="dxa" w:w="60"/>
              <w:left w:type="dxa" w:w="80"/>
              <w:bottom w:type="dxa" w:w="60"/>
              <w:right w:type="dxa" w:w="80"/>
            </w:tcMar>
          </w:tcPr>
          <w:p>
            <w:pPr>
              <w:jc w:val="left"/>
            </w:pPr>
            <w:r>
              <w:rPr>
                <w:b w:val="false"/>
                <w:bCs w:val="false"/>
                <w:sz w:val="20"/>
                <w:szCs w:val="20"/>
              </w:rPr>
              <w:t xml:space="preserve">Inconsistent status labels</w:t>
            </w:r>
          </w:p>
        </w:tc>
        <w:tc>
          <w:tcPr>
            <w:tcW w:type="dxa" w:w="5300"/>
            <w:tcMar>
              <w:top w:type="dxa" w:w="60"/>
              <w:left w:type="dxa" w:w="80"/>
              <w:bottom w:type="dxa" w:w="60"/>
              <w:right w:type="dxa" w:w="80"/>
            </w:tcMar>
          </w:tcPr>
          <w:p>
            <w:pPr>
              <w:jc w:val="left"/>
            </w:pPr>
            <w:r>
              <w:rPr>
                <w:b w:val="false"/>
                <w:bCs w:val="false"/>
                <w:sz w:val="20"/>
                <w:szCs w:val="20"/>
              </w:rPr>
              <w:t xml:space="preserve">Only two clean values: Completed (96), Cancelled (24)</w:t>
            </w:r>
          </w:p>
        </w:tc>
      </w:tr>
      <w:tr>
        <w:tc>
          <w:tcPr>
            <w:tcW w:type="dxa" w:w="4200"/>
            <w:tcMar>
              <w:top w:type="dxa" w:w="60"/>
              <w:left w:type="dxa" w:w="80"/>
              <w:bottom w:type="dxa" w:w="60"/>
              <w:right w:type="dxa" w:w="80"/>
            </w:tcMar>
          </w:tcPr>
          <w:p>
            <w:pPr>
              <w:jc w:val="left"/>
            </w:pPr>
            <w:r>
              <w:rPr>
                <w:b w:val="false"/>
                <w:bCs w:val="false"/>
                <w:sz w:val="20"/>
                <w:szCs w:val="20"/>
              </w:rPr>
              <w:t xml:space="preserve">Missing ratings</w:t>
            </w:r>
          </w:p>
        </w:tc>
        <w:tc>
          <w:tcPr>
            <w:tcW w:type="dxa" w:w="5300"/>
            <w:tcMar>
              <w:top w:type="dxa" w:w="60"/>
              <w:left w:type="dxa" w:w="80"/>
              <w:bottom w:type="dxa" w:w="60"/>
              <w:right w:type="dxa" w:w="80"/>
            </w:tcMar>
          </w:tcPr>
          <w:p>
            <w:pPr>
              <w:jc w:val="left"/>
            </w:pPr>
            <w:r>
              <w:rPr>
                <w:b w:val="false"/>
                <w:bCs w:val="false"/>
                <w:sz w:val="20"/>
                <w:szCs w:val="20"/>
              </w:rPr>
              <w:t xml:space="preserve">24 missing, and they are exactly the 24 cancelled rides — consistent, not a data error</w:t>
            </w:r>
          </w:p>
        </w:tc>
      </w:tr>
    </w:tbl>
    <w:p>
      <w:pPr>
        <w:spacing w:after="120"/>
      </w:pPr>
      <w:r>
        <w:t xml:space="preserve"/>
      </w:r>
    </w:p>
    <w:p>
      <w:pPr>
        <w:pStyle w:val="Heading2"/>
        <w:spacing w:after="100" w:before="220"/>
      </w:pPr>
      <w:r>
        <w:t xml:space="preserve">3.2 Structural limitations (carried into every later section)</w:t>
      </w:r>
    </w:p>
    <w:p>
      <w:pPr>
        <w:pStyle w:val="ListParagraph"/>
        <w:numPr>
          <w:ilvl w:val="0"/>
          <w:numId w:val="2"/>
        </w:numPr>
        <w:spacing w:after="60"/>
      </w:pPr>
      <w:r>
        <w:t xml:space="preserve">No Driver ID — driver performance intelligence (Section 6 of the brief) cannot be built.</w:t>
      </w:r>
    </w:p>
    <w:p>
      <w:pPr>
        <w:pStyle w:val="ListParagraph"/>
        <w:numPr>
          <w:ilvl w:val="0"/>
          <w:numId w:val="2"/>
        </w:numPr>
        <w:spacing w:after="60"/>
      </w:pPr>
      <w:r>
        <w:t xml:space="preserve">No Customer ID — true ride-frequency customer segmentation cannot be built.</w:t>
      </w:r>
    </w:p>
    <w:p>
      <w:pPr>
        <w:pStyle w:val="ListParagraph"/>
        <w:numPr>
          <w:ilvl w:val="0"/>
          <w:numId w:val="2"/>
        </w:numPr>
        <w:spacing w:after="60"/>
      </w:pPr>
      <w:r>
        <w:t xml:space="preserve">No ride-type or distance column — Average Distance and ride-type breakdowns are not available.</w:t>
      </w:r>
    </w:p>
    <w:p>
      <w:pPr>
        <w:pStyle w:val="ListParagraph"/>
        <w:numPr>
          <w:ilvl w:val="0"/>
          <w:numId w:val="2"/>
        </w:numPr>
        <w:spacing w:after="60"/>
      </w:pPr>
      <w:r>
        <w:t xml:space="preserve">Only a Date, not a timestamp — cancellation/demand can be analyzed by weekday, not by hour.</w:t>
      </w:r>
    </w:p>
    <w:p>
      <w:pPr>
        <w:pStyle w:val="ListParagraph"/>
        <w:numPr>
          <w:ilvl w:val="0"/>
          <w:numId w:val="2"/>
        </w:numPr>
        <w:spacing w:after="60"/>
      </w:pPr>
      <w:r>
        <w:t xml:space="preserve">A single calendar month — trend measures are shown week-over-week rather than month-over-month.</w:t>
      </w:r>
    </w:p>
    <w:p>
      <w:pPr>
        <w:pStyle w:val="ListParagraph"/>
        <w:numPr>
          <w:ilvl w:val="0"/>
          <w:numId w:val="2"/>
        </w:numPr>
        <w:spacing w:after="60"/>
      </w:pPr>
      <w:r>
        <w:t xml:space="preserve">120 rows total, so location- and route-level splits (7-21 rides each) are directional, not statistically robust.</w:t>
      </w:r>
    </w:p>
    <w:p>
      <w:pPr>
        <w:pStyle w:val="Heading1"/>
        <w:spacing w:after="150" w:before="300"/>
      </w:pPr>
      <w:r>
        <w:t xml:space="preserve">4. Advanced Data Model</w:t>
      </w:r>
    </w:p>
    <w:p>
      <w:pPr>
        <w:spacing w:after="120"/>
      </w:pPr>
      <w:r>
        <w:t xml:space="preserve">A dedicated Date Table (2026-08-01 to 2026-08-31) was built with Day, Weekday, Week Number, Month, and Is-Weekend columns, joined to the ride log on Date. Three calculated columns were added to the ride table to support the analysis below: Weekday, Week Number, Route (Pickup → Drop-off), and Fare Tier (Low/Mid/High, split at the 33rd/67th percentile of completed fares: ~548 and ~822). Source data, calculated columns, and the measures in Section 5 are kept on separate sheets/tables so presentation logic never overwrites raw data — mirroring how the Power BI model should separate the fact table, the Date table, and the measures table.</w:t>
      </w:r>
    </w:p>
    <w:p>
      <w:pPr>
        <w:pStyle w:val="Heading1"/>
        <w:spacing w:after="150" w:before="300"/>
      </w:pPr>
      <w:r>
        <w:t xml:space="preserve">5. Advanced DAX Measures</w:t>
      </w:r>
    </w:p>
    <w:p>
      <w:pPr>
        <w:spacing w:after="120"/>
      </w:pPr>
      <w:r>
        <w:t xml:space="preserve">Every measure below was first validated in Excel with SUMIFS/COUNTIFS/AVERAGEIF against the raw data (see the companion workbook), then written as DAX for Power BI. Values matched exactly.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600"/>
      </w:tblGrid>
      <w:tr>
        <w:trPr>
          <w:tblHeader/>
        </w:trPr>
        <w:tc>
          <w:tcPr>
            <w:tcW w:type="dxa" w:w="2600"/>
            <w:shd w:fill="1F4E78" w:val="clear"/>
            <w:tcMar>
              <w:top w:type="dxa" w:w="60"/>
              <w:left w:type="dxa" w:w="80"/>
              <w:bottom w:type="dxa" w:w="60"/>
              <w:right w:type="dxa" w:w="80"/>
            </w:tcMar>
          </w:tcPr>
          <w:p>
            <w:pPr>
              <w:jc w:val="left"/>
            </w:pPr>
            <w:r>
              <w:rPr>
                <w:b/>
                <w:bCs/>
                <w:color w:val="FFFFFF"/>
                <w:sz w:val="20"/>
                <w:szCs w:val="20"/>
              </w:rPr>
              <w:t xml:space="preserve">Measure</w:t>
            </w:r>
          </w:p>
        </w:tc>
        <w:tc>
          <w:tcPr>
            <w:tcW w:type="dxa" w:w="4300"/>
            <w:shd w:fill="1F4E78" w:val="clear"/>
            <w:tcMar>
              <w:top w:type="dxa" w:w="60"/>
              <w:left w:type="dxa" w:w="80"/>
              <w:bottom w:type="dxa" w:w="60"/>
              <w:right w:type="dxa" w:w="80"/>
            </w:tcMar>
          </w:tcPr>
          <w:p>
            <w:pPr>
              <w:jc w:val="left"/>
            </w:pPr>
            <w:r>
              <w:rPr>
                <w:b/>
                <w:bCs/>
                <w:color w:val="FFFFFF"/>
                <w:sz w:val="20"/>
                <w:szCs w:val="20"/>
              </w:rPr>
              <w:t xml:space="preserve">DAX</w:t>
            </w:r>
          </w:p>
        </w:tc>
        <w:tc>
          <w:tcPr>
            <w:tcW w:type="dxa" w:w="2600"/>
            <w:shd w:fill="1F4E78" w:val="clear"/>
            <w:tcMar>
              <w:top w:type="dxa" w:w="60"/>
              <w:left w:type="dxa" w:w="80"/>
              <w:bottom w:type="dxa" w:w="60"/>
              <w:right w:type="dxa" w:w="80"/>
            </w:tcMar>
          </w:tcPr>
          <w:p>
            <w:pPr>
              <w:jc w:val="left"/>
            </w:pPr>
            <w:r>
              <w:rPr>
                <w:b/>
                <w:bCs/>
                <w:color w:val="FFFFFF"/>
                <w:sz w:val="20"/>
                <w:szCs w:val="20"/>
              </w:rPr>
              <w:t xml:space="preserve">Validated Value</w:t>
            </w:r>
          </w:p>
        </w:tc>
      </w:tr>
      <w:tr>
        <w:tc>
          <w:tcPr>
            <w:tcW w:type="dxa" w:w="2600"/>
            <w:tcMar>
              <w:top w:type="dxa" w:w="60"/>
              <w:left w:type="dxa" w:w="80"/>
              <w:bottom w:type="dxa" w:w="60"/>
              <w:right w:type="dxa" w:w="80"/>
            </w:tcMar>
          </w:tcPr>
          <w:p>
            <w:pPr>
              <w:jc w:val="left"/>
            </w:pPr>
            <w:r>
              <w:rPr>
                <w:b w:val="false"/>
                <w:bCs w:val="false"/>
                <w:sz w:val="20"/>
                <w:szCs w:val="20"/>
              </w:rPr>
              <w:t xml:space="preserve">Total Revenue</w:t>
            </w:r>
          </w:p>
        </w:tc>
        <w:tc>
          <w:tcPr>
            <w:tcW w:type="dxa" w:w="4300"/>
            <w:tcMar>
              <w:top w:type="dxa" w:w="60"/>
              <w:left w:type="dxa" w:w="80"/>
              <w:bottom w:type="dxa" w:w="60"/>
              <w:right w:type="dxa" w:w="80"/>
            </w:tcMar>
          </w:tcPr>
          <w:p>
            <w:pPr>
              <w:jc w:val="left"/>
            </w:pPr>
            <w:r>
              <w:rPr>
                <w:b w:val="false"/>
                <w:bCs w:val="false"/>
                <w:sz w:val="20"/>
                <w:szCs w:val="20"/>
              </w:rPr>
              <w:t xml:space="preserve">CALCULATE(SUM(Fare), Status="Completed")</w:t>
            </w:r>
          </w:p>
        </w:tc>
        <w:tc>
          <w:tcPr>
            <w:tcW w:type="dxa" w:w="2600"/>
            <w:tcMar>
              <w:top w:type="dxa" w:w="60"/>
              <w:left w:type="dxa" w:w="80"/>
              <w:bottom w:type="dxa" w:w="60"/>
              <w:right w:type="dxa" w:w="80"/>
            </w:tcMar>
          </w:tcPr>
          <w:p>
            <w:pPr>
              <w:jc w:val="left"/>
            </w:pPr>
            <w:r>
              <w:rPr>
                <w:b w:val="false"/>
                <w:bCs w:val="false"/>
                <w:sz w:val="20"/>
                <w:szCs w:val="20"/>
              </w:rPr>
              <w:t xml:space="preserve">65,427</w:t>
            </w:r>
          </w:p>
        </w:tc>
      </w:tr>
      <w:tr>
        <w:tc>
          <w:tcPr>
            <w:tcW w:type="dxa" w:w="2600"/>
            <w:tcMar>
              <w:top w:type="dxa" w:w="60"/>
              <w:left w:type="dxa" w:w="80"/>
              <w:bottom w:type="dxa" w:w="60"/>
              <w:right w:type="dxa" w:w="80"/>
            </w:tcMar>
          </w:tcPr>
          <w:p>
            <w:pPr>
              <w:jc w:val="left"/>
            </w:pPr>
            <w:r>
              <w:rPr>
                <w:b w:val="false"/>
                <w:bCs w:val="false"/>
                <w:sz w:val="20"/>
                <w:szCs w:val="20"/>
              </w:rPr>
              <w:t xml:space="preserve">Completed Rides</w:t>
            </w:r>
          </w:p>
        </w:tc>
        <w:tc>
          <w:tcPr>
            <w:tcW w:type="dxa" w:w="4300"/>
            <w:tcMar>
              <w:top w:type="dxa" w:w="60"/>
              <w:left w:type="dxa" w:w="80"/>
              <w:bottom w:type="dxa" w:w="60"/>
              <w:right w:type="dxa" w:w="80"/>
            </w:tcMar>
          </w:tcPr>
          <w:p>
            <w:pPr>
              <w:jc w:val="left"/>
            </w:pPr>
            <w:r>
              <w:rPr>
                <w:b w:val="false"/>
                <w:bCs w:val="false"/>
                <w:sz w:val="20"/>
                <w:szCs w:val="20"/>
              </w:rPr>
              <w:t xml:space="preserve">CALCULATE(COUNTROWS(), Status="Completed")</w:t>
            </w:r>
          </w:p>
        </w:tc>
        <w:tc>
          <w:tcPr>
            <w:tcW w:type="dxa" w:w="2600"/>
            <w:tcMar>
              <w:top w:type="dxa" w:w="60"/>
              <w:left w:type="dxa" w:w="80"/>
              <w:bottom w:type="dxa" w:w="60"/>
              <w:right w:type="dxa" w:w="80"/>
            </w:tcMar>
          </w:tcPr>
          <w:p>
            <w:pPr>
              <w:jc w:val="left"/>
            </w:pPr>
            <w:r>
              <w:rPr>
                <w:b w:val="false"/>
                <w:bCs w:val="false"/>
                <w:sz w:val="20"/>
                <w:szCs w:val="20"/>
              </w:rPr>
              <w:t xml:space="preserve">96</w:t>
            </w:r>
          </w:p>
        </w:tc>
      </w:tr>
      <w:tr>
        <w:tc>
          <w:tcPr>
            <w:tcW w:type="dxa" w:w="2600"/>
            <w:tcMar>
              <w:top w:type="dxa" w:w="60"/>
              <w:left w:type="dxa" w:w="80"/>
              <w:bottom w:type="dxa" w:w="60"/>
              <w:right w:type="dxa" w:w="80"/>
            </w:tcMar>
          </w:tcPr>
          <w:p>
            <w:pPr>
              <w:jc w:val="left"/>
            </w:pPr>
            <w:r>
              <w:rPr>
                <w:b w:val="false"/>
                <w:bCs w:val="false"/>
                <w:sz w:val="20"/>
                <w:szCs w:val="20"/>
              </w:rPr>
              <w:t xml:space="preserve">Cancelled Rides</w:t>
            </w:r>
          </w:p>
        </w:tc>
        <w:tc>
          <w:tcPr>
            <w:tcW w:type="dxa" w:w="4300"/>
            <w:tcMar>
              <w:top w:type="dxa" w:w="60"/>
              <w:left w:type="dxa" w:w="80"/>
              <w:bottom w:type="dxa" w:w="60"/>
              <w:right w:type="dxa" w:w="80"/>
            </w:tcMar>
          </w:tcPr>
          <w:p>
            <w:pPr>
              <w:jc w:val="left"/>
            </w:pPr>
            <w:r>
              <w:rPr>
                <w:b w:val="false"/>
                <w:bCs w:val="false"/>
                <w:sz w:val="20"/>
                <w:szCs w:val="20"/>
              </w:rPr>
              <w:t xml:space="preserve">CALCULATE(COUNTROWS(), Status="Cancelled")</w:t>
            </w:r>
          </w:p>
        </w:tc>
        <w:tc>
          <w:tcPr>
            <w:tcW w:type="dxa" w:w="2600"/>
            <w:tcMar>
              <w:top w:type="dxa" w:w="60"/>
              <w:left w:type="dxa" w:w="80"/>
              <w:bottom w:type="dxa" w:w="60"/>
              <w:right w:type="dxa" w:w="80"/>
            </w:tcMar>
          </w:tcPr>
          <w:p>
            <w:pPr>
              <w:jc w:val="left"/>
            </w:pPr>
            <w:r>
              <w:rPr>
                <w:b w:val="false"/>
                <w:bCs w:val="false"/>
                <w:sz w:val="20"/>
                <w:szCs w:val="20"/>
              </w:rPr>
              <w:t xml:space="preserve">24</w:t>
            </w:r>
          </w:p>
        </w:tc>
      </w:tr>
      <w:tr>
        <w:tc>
          <w:tcPr>
            <w:tcW w:type="dxa" w:w="2600"/>
            <w:tcMar>
              <w:top w:type="dxa" w:w="60"/>
              <w:left w:type="dxa" w:w="80"/>
              <w:bottom w:type="dxa" w:w="60"/>
              <w:right w:type="dxa" w:w="80"/>
            </w:tcMar>
          </w:tcPr>
          <w:p>
            <w:pPr>
              <w:jc w:val="left"/>
            </w:pPr>
            <w:r>
              <w:rPr>
                <w:b w:val="false"/>
                <w:bCs w:val="false"/>
                <w:sz w:val="20"/>
                <w:szCs w:val="20"/>
              </w:rPr>
              <w:t xml:space="preserve">Completion Rate</w:t>
            </w:r>
          </w:p>
        </w:tc>
        <w:tc>
          <w:tcPr>
            <w:tcW w:type="dxa" w:w="4300"/>
            <w:tcMar>
              <w:top w:type="dxa" w:w="60"/>
              <w:left w:type="dxa" w:w="80"/>
              <w:bottom w:type="dxa" w:w="60"/>
              <w:right w:type="dxa" w:w="80"/>
            </w:tcMar>
          </w:tcPr>
          <w:p>
            <w:pPr>
              <w:jc w:val="left"/>
            </w:pPr>
            <w:r>
              <w:rPr>
                <w:b w:val="false"/>
                <w:bCs w:val="false"/>
                <w:sz w:val="20"/>
                <w:szCs w:val="20"/>
              </w:rPr>
              <w:t xml:space="preserve">DIVIDE([Completed Rides],[Total Rides])</w:t>
            </w:r>
          </w:p>
        </w:tc>
        <w:tc>
          <w:tcPr>
            <w:tcW w:type="dxa" w:w="2600"/>
            <w:tcMar>
              <w:top w:type="dxa" w:w="60"/>
              <w:left w:type="dxa" w:w="80"/>
              <w:bottom w:type="dxa" w:w="60"/>
              <w:right w:type="dxa" w:w="80"/>
            </w:tcMar>
          </w:tcPr>
          <w:p>
            <w:pPr>
              <w:jc w:val="left"/>
            </w:pPr>
            <w:r>
              <w:rPr>
                <w:b w:val="false"/>
                <w:bCs w:val="false"/>
                <w:sz w:val="20"/>
                <w:szCs w:val="20"/>
              </w:rPr>
              <w:t xml:space="preserve">80.0%</w:t>
            </w:r>
          </w:p>
        </w:tc>
      </w:tr>
      <w:tr>
        <w:tc>
          <w:tcPr>
            <w:tcW w:type="dxa" w:w="2600"/>
            <w:tcMar>
              <w:top w:type="dxa" w:w="60"/>
              <w:left w:type="dxa" w:w="80"/>
              <w:bottom w:type="dxa" w:w="60"/>
              <w:right w:type="dxa" w:w="80"/>
            </w:tcMar>
          </w:tcPr>
          <w:p>
            <w:pPr>
              <w:jc w:val="left"/>
            </w:pPr>
            <w:r>
              <w:rPr>
                <w:b w:val="false"/>
                <w:bCs w:val="false"/>
                <w:sz w:val="20"/>
                <w:szCs w:val="20"/>
              </w:rPr>
              <w:t xml:space="preserve">Cancellation Rate</w:t>
            </w:r>
          </w:p>
        </w:tc>
        <w:tc>
          <w:tcPr>
            <w:tcW w:type="dxa" w:w="4300"/>
            <w:tcMar>
              <w:top w:type="dxa" w:w="60"/>
              <w:left w:type="dxa" w:w="80"/>
              <w:bottom w:type="dxa" w:w="60"/>
              <w:right w:type="dxa" w:w="80"/>
            </w:tcMar>
          </w:tcPr>
          <w:p>
            <w:pPr>
              <w:jc w:val="left"/>
            </w:pPr>
            <w:r>
              <w:rPr>
                <w:b w:val="false"/>
                <w:bCs w:val="false"/>
                <w:sz w:val="20"/>
                <w:szCs w:val="20"/>
              </w:rPr>
              <w:t xml:space="preserve">DIVIDE([Cancelled Rides],[Total Rides])</w:t>
            </w:r>
          </w:p>
        </w:tc>
        <w:tc>
          <w:tcPr>
            <w:tcW w:type="dxa" w:w="2600"/>
            <w:tcMar>
              <w:top w:type="dxa" w:w="60"/>
              <w:left w:type="dxa" w:w="80"/>
              <w:bottom w:type="dxa" w:w="60"/>
              <w:right w:type="dxa" w:w="80"/>
            </w:tcMar>
          </w:tcPr>
          <w:p>
            <w:pPr>
              <w:jc w:val="left"/>
            </w:pPr>
            <w:r>
              <w:rPr>
                <w:b w:val="false"/>
                <w:bCs w:val="false"/>
                <w:sz w:val="20"/>
                <w:szCs w:val="20"/>
              </w:rPr>
              <w:t xml:space="preserve">20.0%</w:t>
            </w:r>
          </w:p>
        </w:tc>
      </w:tr>
      <w:tr>
        <w:tc>
          <w:tcPr>
            <w:tcW w:type="dxa" w:w="2600"/>
            <w:tcMar>
              <w:top w:type="dxa" w:w="60"/>
              <w:left w:type="dxa" w:w="80"/>
              <w:bottom w:type="dxa" w:w="60"/>
              <w:right w:type="dxa" w:w="80"/>
            </w:tcMar>
          </w:tcPr>
          <w:p>
            <w:pPr>
              <w:jc w:val="left"/>
            </w:pPr>
            <w:r>
              <w:rPr>
                <w:b w:val="false"/>
                <w:bCs w:val="false"/>
                <w:sz w:val="20"/>
                <w:szCs w:val="20"/>
              </w:rPr>
              <w:t xml:space="preserve">Average Fare</w:t>
            </w:r>
          </w:p>
        </w:tc>
        <w:tc>
          <w:tcPr>
            <w:tcW w:type="dxa" w:w="4300"/>
            <w:tcMar>
              <w:top w:type="dxa" w:w="60"/>
              <w:left w:type="dxa" w:w="80"/>
              <w:bottom w:type="dxa" w:w="60"/>
              <w:right w:type="dxa" w:w="80"/>
            </w:tcMar>
          </w:tcPr>
          <w:p>
            <w:pPr>
              <w:jc w:val="left"/>
            </w:pPr>
            <w:r>
              <w:rPr>
                <w:b w:val="false"/>
                <w:bCs w:val="false"/>
                <w:sz w:val="20"/>
                <w:szCs w:val="20"/>
              </w:rPr>
              <w:t xml:space="preserve">CALCULATE(AVERAGE(Fare), Status="Completed")</w:t>
            </w:r>
          </w:p>
        </w:tc>
        <w:tc>
          <w:tcPr>
            <w:tcW w:type="dxa" w:w="2600"/>
            <w:tcMar>
              <w:top w:type="dxa" w:w="60"/>
              <w:left w:type="dxa" w:w="80"/>
              <w:bottom w:type="dxa" w:w="60"/>
              <w:right w:type="dxa" w:w="80"/>
            </w:tcMar>
          </w:tcPr>
          <w:p>
            <w:pPr>
              <w:jc w:val="left"/>
            </w:pPr>
            <w:r>
              <w:rPr>
                <w:b w:val="false"/>
                <w:bCs w:val="false"/>
                <w:sz w:val="20"/>
                <w:szCs w:val="20"/>
              </w:rPr>
              <w:t xml:space="preserve">681.53</w:t>
            </w:r>
          </w:p>
        </w:tc>
      </w:tr>
      <w:tr>
        <w:tc>
          <w:tcPr>
            <w:tcW w:type="dxa" w:w="2600"/>
            <w:tcMar>
              <w:top w:type="dxa" w:w="60"/>
              <w:left w:type="dxa" w:w="80"/>
              <w:bottom w:type="dxa" w:w="60"/>
              <w:right w:type="dxa" w:w="80"/>
            </w:tcMar>
          </w:tcPr>
          <w:p>
            <w:pPr>
              <w:jc w:val="left"/>
            </w:pPr>
            <w:r>
              <w:rPr>
                <w:b w:val="false"/>
                <w:bCs w:val="false"/>
                <w:sz w:val="20"/>
                <w:szCs w:val="20"/>
              </w:rPr>
              <w:t xml:space="preserve">Average Distance</w:t>
            </w:r>
          </w:p>
        </w:tc>
        <w:tc>
          <w:tcPr>
            <w:tcW w:type="dxa" w:w="4300"/>
            <w:tcMar>
              <w:top w:type="dxa" w:w="60"/>
              <w:left w:type="dxa" w:w="80"/>
              <w:bottom w:type="dxa" w:w="60"/>
              <w:right w:type="dxa" w:w="80"/>
            </w:tcMar>
          </w:tcPr>
          <w:p>
            <w:pPr>
              <w:jc w:val="left"/>
            </w:pPr>
            <w:r>
              <w:rPr>
                <w:b w:val="false"/>
                <w:bCs w:val="false"/>
                <w:sz w:val="20"/>
                <w:szCs w:val="20"/>
              </w:rPr>
              <w:t xml:space="preserve">— not available (no distance column)</w:t>
            </w:r>
          </w:p>
        </w:tc>
        <w:tc>
          <w:tcPr>
            <w:tcW w:type="dxa" w:w="2600"/>
            <w:tcMar>
              <w:top w:type="dxa" w:w="60"/>
              <w:left w:type="dxa" w:w="80"/>
              <w:bottom w:type="dxa" w:w="60"/>
              <w:right w:type="dxa" w:w="80"/>
            </w:tcMar>
          </w:tcPr>
          <w:p>
            <w:pPr>
              <w:jc w:val="left"/>
            </w:pPr>
            <w:r>
              <w:rPr>
                <w:b w:val="false"/>
                <w:bCs w:val="false"/>
                <w:sz w:val="20"/>
                <w:szCs w:val="20"/>
              </w:rPr>
              <w:t xml:space="preserve">N/A</w:t>
            </w:r>
          </w:p>
        </w:tc>
      </w:tr>
      <w:tr>
        <w:tc>
          <w:tcPr>
            <w:tcW w:type="dxa" w:w="2600"/>
            <w:tcMar>
              <w:top w:type="dxa" w:w="60"/>
              <w:left w:type="dxa" w:w="80"/>
              <w:bottom w:type="dxa" w:w="60"/>
              <w:right w:type="dxa" w:w="80"/>
            </w:tcMar>
          </w:tcPr>
          <w:p>
            <w:pPr>
              <w:jc w:val="left"/>
            </w:pPr>
            <w:r>
              <w:rPr>
                <w:b w:val="false"/>
                <w:bCs w:val="false"/>
                <w:sz w:val="20"/>
                <w:szCs w:val="20"/>
              </w:rPr>
              <w:t xml:space="preserve">Average Rating</w:t>
            </w:r>
          </w:p>
        </w:tc>
        <w:tc>
          <w:tcPr>
            <w:tcW w:type="dxa" w:w="4300"/>
            <w:tcMar>
              <w:top w:type="dxa" w:w="60"/>
              <w:left w:type="dxa" w:w="80"/>
              <w:bottom w:type="dxa" w:w="60"/>
              <w:right w:type="dxa" w:w="80"/>
            </w:tcMar>
          </w:tcPr>
          <w:p>
            <w:pPr>
              <w:jc w:val="left"/>
            </w:pPr>
            <w:r>
              <w:rPr>
                <w:b w:val="false"/>
                <w:bCs w:val="false"/>
                <w:sz w:val="20"/>
                <w:szCs w:val="20"/>
              </w:rPr>
              <w:t xml:space="preserve">AVERAGE(Rating)</w:t>
            </w:r>
          </w:p>
        </w:tc>
        <w:tc>
          <w:tcPr>
            <w:tcW w:type="dxa" w:w="2600"/>
            <w:tcMar>
              <w:top w:type="dxa" w:w="60"/>
              <w:left w:type="dxa" w:w="80"/>
              <w:bottom w:type="dxa" w:w="60"/>
              <w:right w:type="dxa" w:w="80"/>
            </w:tcMar>
          </w:tcPr>
          <w:p>
            <w:pPr>
              <w:jc w:val="left"/>
            </w:pPr>
            <w:r>
              <w:rPr>
                <w:b w:val="false"/>
                <w:bCs w:val="false"/>
                <w:sz w:val="20"/>
                <w:szCs w:val="20"/>
              </w:rPr>
              <w:t xml:space="preserve">3.96</w:t>
            </w:r>
          </w:p>
        </w:tc>
      </w:tr>
      <w:tr>
        <w:tc>
          <w:tcPr>
            <w:tcW w:type="dxa" w:w="2600"/>
            <w:tcMar>
              <w:top w:type="dxa" w:w="60"/>
              <w:left w:type="dxa" w:w="80"/>
              <w:bottom w:type="dxa" w:w="60"/>
              <w:right w:type="dxa" w:w="80"/>
            </w:tcMar>
          </w:tcPr>
          <w:p>
            <w:pPr>
              <w:jc w:val="left"/>
            </w:pPr>
            <w:r>
              <w:rPr>
                <w:b w:val="false"/>
                <w:bCs w:val="false"/>
                <w:sz w:val="20"/>
                <w:szCs w:val="20"/>
              </w:rPr>
              <w:t xml:space="preserve">Revenue per Completed Ride</w:t>
            </w:r>
          </w:p>
        </w:tc>
        <w:tc>
          <w:tcPr>
            <w:tcW w:type="dxa" w:w="4300"/>
            <w:tcMar>
              <w:top w:type="dxa" w:w="60"/>
              <w:left w:type="dxa" w:w="80"/>
              <w:bottom w:type="dxa" w:w="60"/>
              <w:right w:type="dxa" w:w="80"/>
            </w:tcMar>
          </w:tcPr>
          <w:p>
            <w:pPr>
              <w:jc w:val="left"/>
            </w:pPr>
            <w:r>
              <w:rPr>
                <w:b w:val="false"/>
                <w:bCs w:val="false"/>
                <w:sz w:val="20"/>
                <w:szCs w:val="20"/>
              </w:rPr>
              <w:t xml:space="preserve">DIVIDE([Total Revenue],[Completed Rides])</w:t>
            </w:r>
          </w:p>
        </w:tc>
        <w:tc>
          <w:tcPr>
            <w:tcW w:type="dxa" w:w="2600"/>
            <w:tcMar>
              <w:top w:type="dxa" w:w="60"/>
              <w:left w:type="dxa" w:w="80"/>
              <w:bottom w:type="dxa" w:w="60"/>
              <w:right w:type="dxa" w:w="80"/>
            </w:tcMar>
          </w:tcPr>
          <w:p>
            <w:pPr>
              <w:jc w:val="left"/>
            </w:pPr>
            <w:r>
              <w:rPr>
                <w:b w:val="false"/>
                <w:bCs w:val="false"/>
                <w:sz w:val="20"/>
                <w:szCs w:val="20"/>
              </w:rPr>
              <w:t xml:space="preserve">681.53</w:t>
            </w:r>
          </w:p>
        </w:tc>
      </w:tr>
      <w:tr>
        <w:tc>
          <w:tcPr>
            <w:tcW w:type="dxa" w:w="2600"/>
            <w:tcMar>
              <w:top w:type="dxa" w:w="60"/>
              <w:left w:type="dxa" w:w="80"/>
              <w:bottom w:type="dxa" w:w="60"/>
              <w:right w:type="dxa" w:w="80"/>
            </w:tcMar>
          </w:tcPr>
          <w:p>
            <w:pPr>
              <w:jc w:val="left"/>
            </w:pPr>
            <w:r>
              <w:rPr>
                <w:b w:val="false"/>
                <w:bCs w:val="false"/>
                <w:sz w:val="20"/>
                <w:szCs w:val="20"/>
              </w:rPr>
              <w:t xml:space="preserve">Revenue % Change WoW</w:t>
            </w:r>
          </w:p>
        </w:tc>
        <w:tc>
          <w:tcPr>
            <w:tcW w:type="dxa" w:w="4300"/>
            <w:tcMar>
              <w:top w:type="dxa" w:w="60"/>
              <w:left w:type="dxa" w:w="80"/>
              <w:bottom w:type="dxa" w:w="60"/>
              <w:right w:type="dxa" w:w="80"/>
            </w:tcMar>
          </w:tcPr>
          <w:p>
            <w:pPr>
              <w:jc w:val="left"/>
            </w:pPr>
            <w:r>
              <w:rPr>
                <w:b w:val="false"/>
                <w:bCs w:val="false"/>
                <w:sz w:val="20"/>
                <w:szCs w:val="20"/>
              </w:rPr>
              <w:t xml:space="preserve">DIVIDE([Rev]-[Rev PW],[Rev PW])</w:t>
            </w:r>
          </w:p>
        </w:tc>
        <w:tc>
          <w:tcPr>
            <w:tcW w:type="dxa" w:w="2600"/>
            <w:tcMar>
              <w:top w:type="dxa" w:w="60"/>
              <w:left w:type="dxa" w:w="80"/>
              <w:bottom w:type="dxa" w:w="60"/>
              <w:right w:type="dxa" w:w="80"/>
            </w:tcMar>
          </w:tcPr>
          <w:p>
            <w:pPr>
              <w:jc w:val="left"/>
            </w:pPr>
            <w:r>
              <w:rPr>
                <w:b w:val="false"/>
                <w:bCs w:val="false"/>
                <w:sz w:val="20"/>
                <w:szCs w:val="20"/>
              </w:rPr>
              <w:t xml:space="preserve">see Section 9</w:t>
            </w:r>
          </w:p>
        </w:tc>
      </w:tr>
      <w:tr>
        <w:tc>
          <w:tcPr>
            <w:tcW w:type="dxa" w:w="2600"/>
            <w:tcMar>
              <w:top w:type="dxa" w:w="60"/>
              <w:left w:type="dxa" w:w="80"/>
              <w:bottom w:type="dxa" w:w="60"/>
              <w:right w:type="dxa" w:w="80"/>
            </w:tcMar>
          </w:tcPr>
          <w:p>
            <w:pPr>
              <w:jc w:val="left"/>
            </w:pPr>
            <w:r>
              <w:rPr>
                <w:b w:val="false"/>
                <w:bCs w:val="false"/>
                <w:sz w:val="20"/>
                <w:szCs w:val="20"/>
              </w:rPr>
              <w:t xml:space="preserve">Location Revenue Rank</w:t>
            </w:r>
          </w:p>
        </w:tc>
        <w:tc>
          <w:tcPr>
            <w:tcW w:type="dxa" w:w="4300"/>
            <w:tcMar>
              <w:top w:type="dxa" w:w="60"/>
              <w:left w:type="dxa" w:w="80"/>
              <w:bottom w:type="dxa" w:w="60"/>
              <w:right w:type="dxa" w:w="80"/>
            </w:tcMar>
          </w:tcPr>
          <w:p>
            <w:pPr>
              <w:jc w:val="left"/>
            </w:pPr>
            <w:r>
              <w:rPr>
                <w:b w:val="false"/>
                <w:bCs w:val="false"/>
                <w:sz w:val="20"/>
                <w:szCs w:val="20"/>
              </w:rPr>
              <w:t xml:space="preserve">RANKX(ALL(Pickup Location),[Total Revenue])</w:t>
            </w:r>
          </w:p>
        </w:tc>
        <w:tc>
          <w:tcPr>
            <w:tcW w:type="dxa" w:w="2600"/>
            <w:tcMar>
              <w:top w:type="dxa" w:w="60"/>
              <w:left w:type="dxa" w:w="80"/>
              <w:bottom w:type="dxa" w:w="60"/>
              <w:right w:type="dxa" w:w="80"/>
            </w:tcMar>
          </w:tcPr>
          <w:p>
            <w:pPr>
              <w:jc w:val="left"/>
            </w:pPr>
            <w:r>
              <w:rPr>
                <w:b w:val="false"/>
                <w:bCs w:val="false"/>
                <w:sz w:val="20"/>
                <w:szCs w:val="20"/>
              </w:rPr>
              <w:t xml:space="preserve">see Section 6</w:t>
            </w:r>
          </w:p>
        </w:tc>
      </w:tr>
    </w:tbl>
    <w:p>
      <w:pPr>
        <w:spacing w:after="120"/>
      </w:pPr>
      <w:r>
        <w:t xml:space="preserve"/>
      </w:r>
    </w:p>
    <w:p>
      <w:pPr>
        <w:spacing w:after="120"/>
      </w:pPr>
      <w:r>
        <w:t xml:space="preserve">The full copy-paste DAX library (15 measures, including previous-period, ranking, and contribution-percentage measures) is in the 'DAX Measures' tab of the companion Excel workbook.</w:t>
      </w:r>
    </w:p>
    <w:p>
      <w:pPr>
        <w:pStyle w:val="Heading1"/>
        <w:spacing w:after="150" w:before="300"/>
      </w:pPr>
      <w:r>
        <w:t xml:space="preserve">6. Revenue &amp; Segment Intelligence</w:t>
      </w:r>
    </w:p>
    <w:p>
      <w:pPr>
        <w:pStyle w:val="Heading2"/>
        <w:spacing w:after="100" w:before="220"/>
      </w:pPr>
      <w:r>
        <w:t xml:space="preserve">6.1 By pickup location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1500"/>
        <w:gridCol w:w="1600"/>
        <w:gridCol w:w="1400"/>
      </w:tblGrid>
      <w:tr>
        <w:trPr>
          <w:tblHeader/>
        </w:trPr>
        <w:tc>
          <w:tcPr>
            <w:tcW w:type="dxa" w:w="2000"/>
            <w:shd w:fill="1F4E78" w:val="clear"/>
            <w:tcMar>
              <w:top w:type="dxa" w:w="60"/>
              <w:left w:type="dxa" w:w="80"/>
              <w:bottom w:type="dxa" w:w="60"/>
              <w:right w:type="dxa" w:w="80"/>
            </w:tcMar>
          </w:tcPr>
          <w:p>
            <w:pPr>
              <w:jc w:val="left"/>
            </w:pPr>
            <w:r>
              <w:rPr>
                <w:b/>
                <w:bCs/>
                <w:color w:val="FFFFFF"/>
                <w:sz w:val="20"/>
                <w:szCs w:val="20"/>
              </w:rPr>
              <w:t xml:space="preserve">Location</w:t>
            </w:r>
          </w:p>
        </w:tc>
        <w:tc>
          <w:tcPr>
            <w:tcW w:type="dxa" w:w="1300"/>
            <w:shd w:fill="1F4E78" w:val="clear"/>
            <w:tcMar>
              <w:top w:type="dxa" w:w="60"/>
              <w:left w:type="dxa" w:w="80"/>
              <w:bottom w:type="dxa" w:w="60"/>
              <w:right w:type="dxa" w:w="80"/>
            </w:tcMar>
          </w:tcPr>
          <w:p>
            <w:pPr>
              <w:jc w:val="left"/>
            </w:pPr>
            <w:r>
              <w:rPr>
                <w:b/>
                <w:bCs/>
                <w:color w:val="FFFFFF"/>
                <w:sz w:val="20"/>
                <w:szCs w:val="20"/>
              </w:rPr>
              <w:t xml:space="preserve">Rides</w:t>
            </w:r>
          </w:p>
        </w:tc>
        <w:tc>
          <w:tcPr>
            <w:tcW w:type="dxa" w:w="1300"/>
            <w:shd w:fill="1F4E78" w:val="clear"/>
            <w:tcMar>
              <w:top w:type="dxa" w:w="60"/>
              <w:left w:type="dxa" w:w="80"/>
              <w:bottom w:type="dxa" w:w="60"/>
              <w:right w:type="dxa" w:w="80"/>
            </w:tcMar>
          </w:tcPr>
          <w:p>
            <w:pPr>
              <w:jc w:val="left"/>
            </w:pPr>
            <w:r>
              <w:rPr>
                <w:b/>
                <w:bCs/>
                <w:color w:val="FFFFFF"/>
                <w:sz w:val="20"/>
                <w:szCs w:val="20"/>
              </w:rPr>
              <w:t xml:space="preserve">Cancel %</w:t>
            </w:r>
          </w:p>
        </w:tc>
        <w:tc>
          <w:tcPr>
            <w:tcW w:type="dxa" w:w="1500"/>
            <w:shd w:fill="1F4E78" w:val="clear"/>
            <w:tcMar>
              <w:top w:type="dxa" w:w="60"/>
              <w:left w:type="dxa" w:w="80"/>
              <w:bottom w:type="dxa" w:w="60"/>
              <w:right w:type="dxa" w:w="80"/>
            </w:tcMar>
          </w:tcPr>
          <w:p>
            <w:pPr>
              <w:jc w:val="left"/>
            </w:pPr>
            <w:r>
              <w:rPr>
                <w:b/>
                <w:bCs/>
                <w:color w:val="FFFFFF"/>
                <w:sz w:val="20"/>
                <w:szCs w:val="20"/>
              </w:rPr>
              <w:t xml:space="preserve">Revenue</w:t>
            </w:r>
          </w:p>
        </w:tc>
        <w:tc>
          <w:tcPr>
            <w:tcW w:type="dxa" w:w="1600"/>
            <w:shd w:fill="1F4E78" w:val="clear"/>
            <w:tcMar>
              <w:top w:type="dxa" w:w="60"/>
              <w:left w:type="dxa" w:w="80"/>
              <w:bottom w:type="dxa" w:w="60"/>
              <w:right w:type="dxa" w:w="80"/>
            </w:tcMar>
          </w:tcPr>
          <w:p>
            <w:pPr>
              <w:jc w:val="left"/>
            </w:pPr>
            <w:r>
              <w:rPr>
                <w:b/>
                <w:bCs/>
                <w:color w:val="FFFFFF"/>
                <w:sz w:val="20"/>
                <w:szCs w:val="20"/>
              </w:rPr>
              <w:t xml:space="preserve">% of Revenue</w:t>
            </w:r>
          </w:p>
        </w:tc>
        <w:tc>
          <w:tcPr>
            <w:tcW w:type="dxa" w:w="1400"/>
            <w:shd w:fill="1F4E78" w:val="clear"/>
            <w:tcMar>
              <w:top w:type="dxa" w:w="60"/>
              <w:left w:type="dxa" w:w="80"/>
              <w:bottom w:type="dxa" w:w="60"/>
              <w:right w:type="dxa" w:w="80"/>
            </w:tcMar>
          </w:tcPr>
          <w:p>
            <w:pPr>
              <w:jc w:val="left"/>
            </w:pPr>
            <w:r>
              <w:rPr>
                <w:b/>
                <w:bCs/>
                <w:color w:val="FFFFFF"/>
                <w:sz w:val="20"/>
                <w:szCs w:val="20"/>
              </w:rPr>
              <w:t xml:space="preserve">Avg Fare</w:t>
            </w:r>
          </w:p>
        </w:tc>
      </w:tr>
      <w:tr>
        <w:tc>
          <w:tcPr>
            <w:tcW w:type="dxa" w:w="2000"/>
            <w:tcMar>
              <w:top w:type="dxa" w:w="60"/>
              <w:left w:type="dxa" w:w="80"/>
              <w:bottom w:type="dxa" w:w="60"/>
              <w:right w:type="dxa" w:w="80"/>
            </w:tcMar>
          </w:tcPr>
          <w:p>
            <w:pPr>
              <w:jc w:val="left"/>
            </w:pPr>
            <w:r>
              <w:rPr>
                <w:b w:val="false"/>
                <w:bCs w:val="false"/>
                <w:sz w:val="20"/>
                <w:szCs w:val="20"/>
              </w:rPr>
              <w:t xml:space="preserve">Johar Town</w:t>
            </w:r>
          </w:p>
        </w:tc>
        <w:tc>
          <w:tcPr>
            <w:tcW w:type="dxa" w:w="1300"/>
            <w:tcMar>
              <w:top w:type="dxa" w:w="60"/>
              <w:left w:type="dxa" w:w="80"/>
              <w:bottom w:type="dxa" w:w="60"/>
              <w:right w:type="dxa" w:w="80"/>
            </w:tcMar>
          </w:tcPr>
          <w:p>
            <w:pPr>
              <w:jc w:val="left"/>
            </w:pPr>
            <w:r>
              <w:rPr>
                <w:b w:val="false"/>
                <w:bCs w:val="false"/>
                <w:sz w:val="20"/>
                <w:szCs w:val="20"/>
              </w:rPr>
              <w:t xml:space="preserve">21</w:t>
            </w:r>
          </w:p>
        </w:tc>
        <w:tc>
          <w:tcPr>
            <w:tcW w:type="dxa" w:w="1300"/>
            <w:tcMar>
              <w:top w:type="dxa" w:w="60"/>
              <w:left w:type="dxa" w:w="80"/>
              <w:bottom w:type="dxa" w:w="60"/>
              <w:right w:type="dxa" w:w="80"/>
            </w:tcMar>
          </w:tcPr>
          <w:p>
            <w:pPr>
              <w:jc w:val="left"/>
            </w:pPr>
            <w:r>
              <w:rPr>
                <w:b w:val="false"/>
                <w:bCs w:val="false"/>
                <w:sz w:val="20"/>
                <w:szCs w:val="20"/>
              </w:rPr>
              <w:t xml:space="preserve">19.0%</w:t>
            </w:r>
          </w:p>
        </w:tc>
        <w:tc>
          <w:tcPr>
            <w:tcW w:type="dxa" w:w="1500"/>
            <w:tcMar>
              <w:top w:type="dxa" w:w="60"/>
              <w:left w:type="dxa" w:w="80"/>
              <w:bottom w:type="dxa" w:w="60"/>
              <w:right w:type="dxa" w:w="80"/>
            </w:tcMar>
          </w:tcPr>
          <w:p>
            <w:pPr>
              <w:jc w:val="left"/>
            </w:pPr>
            <w:r>
              <w:rPr>
                <w:b w:val="false"/>
                <w:bCs w:val="false"/>
                <w:sz w:val="20"/>
                <w:szCs w:val="20"/>
              </w:rPr>
              <w:t xml:space="preserve">11,323</w:t>
            </w:r>
          </w:p>
        </w:tc>
        <w:tc>
          <w:tcPr>
            <w:tcW w:type="dxa" w:w="1600"/>
            <w:tcMar>
              <w:top w:type="dxa" w:w="60"/>
              <w:left w:type="dxa" w:w="80"/>
              <w:bottom w:type="dxa" w:w="60"/>
              <w:right w:type="dxa" w:w="80"/>
            </w:tcMar>
          </w:tcPr>
          <w:p>
            <w:pPr>
              <w:jc w:val="left"/>
            </w:pPr>
            <w:r>
              <w:rPr>
                <w:b w:val="false"/>
                <w:bCs w:val="false"/>
                <w:sz w:val="20"/>
                <w:szCs w:val="20"/>
              </w:rPr>
              <w:t xml:space="preserve">17.3%</w:t>
            </w:r>
          </w:p>
        </w:tc>
        <w:tc>
          <w:tcPr>
            <w:tcW w:type="dxa" w:w="1400"/>
            <w:tcMar>
              <w:top w:type="dxa" w:w="60"/>
              <w:left w:type="dxa" w:w="80"/>
              <w:bottom w:type="dxa" w:w="60"/>
              <w:right w:type="dxa" w:w="80"/>
            </w:tcMar>
          </w:tcPr>
          <w:p>
            <w:pPr>
              <w:jc w:val="left"/>
            </w:pPr>
            <w:r>
              <w:rPr>
                <w:b w:val="false"/>
                <w:bCs w:val="false"/>
                <w:sz w:val="20"/>
                <w:szCs w:val="20"/>
              </w:rPr>
              <w:t xml:space="preserve">666</w:t>
            </w:r>
          </w:p>
        </w:tc>
      </w:tr>
      <w:tr>
        <w:tc>
          <w:tcPr>
            <w:tcW w:type="dxa" w:w="2000"/>
            <w:tcMar>
              <w:top w:type="dxa" w:w="60"/>
              <w:left w:type="dxa" w:w="80"/>
              <w:bottom w:type="dxa" w:w="60"/>
              <w:right w:type="dxa" w:w="80"/>
            </w:tcMar>
          </w:tcPr>
          <w:p>
            <w:pPr>
              <w:jc w:val="left"/>
            </w:pPr>
            <w:r>
              <w:rPr>
                <w:b w:val="false"/>
                <w:bCs w:val="false"/>
                <w:sz w:val="20"/>
                <w:szCs w:val="20"/>
              </w:rPr>
              <w:t xml:space="preserve">Model Town</w:t>
            </w:r>
          </w:p>
        </w:tc>
        <w:tc>
          <w:tcPr>
            <w:tcW w:type="dxa" w:w="1300"/>
            <w:tcMar>
              <w:top w:type="dxa" w:w="60"/>
              <w:left w:type="dxa" w:w="80"/>
              <w:bottom w:type="dxa" w:w="60"/>
              <w:right w:type="dxa" w:w="80"/>
            </w:tcMar>
          </w:tcPr>
          <w:p>
            <w:pPr>
              <w:jc w:val="left"/>
            </w:pPr>
            <w:r>
              <w:rPr>
                <w:b w:val="false"/>
                <w:bCs w:val="false"/>
                <w:sz w:val="20"/>
                <w:szCs w:val="20"/>
              </w:rPr>
              <w:t xml:space="preserve">19</w:t>
            </w:r>
          </w:p>
        </w:tc>
        <w:tc>
          <w:tcPr>
            <w:tcW w:type="dxa" w:w="1300"/>
            <w:tcMar>
              <w:top w:type="dxa" w:w="60"/>
              <w:left w:type="dxa" w:w="80"/>
              <w:bottom w:type="dxa" w:w="60"/>
              <w:right w:type="dxa" w:w="80"/>
            </w:tcMar>
          </w:tcPr>
          <w:p>
            <w:pPr>
              <w:jc w:val="left"/>
            </w:pPr>
            <w:r>
              <w:rPr>
                <w:b w:val="false"/>
                <w:bCs w:val="false"/>
                <w:sz w:val="20"/>
                <w:szCs w:val="20"/>
              </w:rPr>
              <w:t xml:space="preserve">26.3%</w:t>
            </w:r>
          </w:p>
        </w:tc>
        <w:tc>
          <w:tcPr>
            <w:tcW w:type="dxa" w:w="1500"/>
            <w:tcMar>
              <w:top w:type="dxa" w:w="60"/>
              <w:left w:type="dxa" w:w="80"/>
              <w:bottom w:type="dxa" w:w="60"/>
              <w:right w:type="dxa" w:w="80"/>
            </w:tcMar>
          </w:tcPr>
          <w:p>
            <w:pPr>
              <w:jc w:val="left"/>
            </w:pPr>
            <w:r>
              <w:rPr>
                <w:b w:val="false"/>
                <w:bCs w:val="false"/>
                <w:sz w:val="20"/>
                <w:szCs w:val="20"/>
              </w:rPr>
              <w:t xml:space="preserve">10,139</w:t>
            </w:r>
          </w:p>
        </w:tc>
        <w:tc>
          <w:tcPr>
            <w:tcW w:type="dxa" w:w="1600"/>
            <w:tcMar>
              <w:top w:type="dxa" w:w="60"/>
              <w:left w:type="dxa" w:w="80"/>
              <w:bottom w:type="dxa" w:w="60"/>
              <w:right w:type="dxa" w:w="80"/>
            </w:tcMar>
          </w:tcPr>
          <w:p>
            <w:pPr>
              <w:jc w:val="left"/>
            </w:pPr>
            <w:r>
              <w:rPr>
                <w:b w:val="false"/>
                <w:bCs w:val="false"/>
                <w:sz w:val="20"/>
                <w:szCs w:val="20"/>
              </w:rPr>
              <w:t xml:space="preserve">15.5%</w:t>
            </w:r>
          </w:p>
        </w:tc>
        <w:tc>
          <w:tcPr>
            <w:tcW w:type="dxa" w:w="1400"/>
            <w:tcMar>
              <w:top w:type="dxa" w:w="60"/>
              <w:left w:type="dxa" w:w="80"/>
              <w:bottom w:type="dxa" w:w="60"/>
              <w:right w:type="dxa" w:w="80"/>
            </w:tcMar>
          </w:tcPr>
          <w:p>
            <w:pPr>
              <w:jc w:val="left"/>
            </w:pPr>
            <w:r>
              <w:rPr>
                <w:b w:val="false"/>
                <w:bCs w:val="false"/>
                <w:sz w:val="20"/>
                <w:szCs w:val="20"/>
              </w:rPr>
              <w:t xml:space="preserve">724</w:t>
            </w:r>
          </w:p>
        </w:tc>
      </w:tr>
      <w:tr>
        <w:tc>
          <w:tcPr>
            <w:tcW w:type="dxa" w:w="2000"/>
            <w:tcMar>
              <w:top w:type="dxa" w:w="60"/>
              <w:left w:type="dxa" w:w="80"/>
              <w:bottom w:type="dxa" w:w="60"/>
              <w:right w:type="dxa" w:w="80"/>
            </w:tcMar>
          </w:tcPr>
          <w:p>
            <w:pPr>
              <w:jc w:val="left"/>
            </w:pPr>
            <w:r>
              <w:rPr>
                <w:b w:val="false"/>
                <w:bCs w:val="false"/>
                <w:sz w:val="20"/>
                <w:szCs w:val="20"/>
              </w:rPr>
              <w:t xml:space="preserve">Wapda Town</w:t>
            </w:r>
          </w:p>
        </w:tc>
        <w:tc>
          <w:tcPr>
            <w:tcW w:type="dxa" w:w="1300"/>
            <w:tcMar>
              <w:top w:type="dxa" w:w="60"/>
              <w:left w:type="dxa" w:w="80"/>
              <w:bottom w:type="dxa" w:w="60"/>
              <w:right w:type="dxa" w:w="80"/>
            </w:tcMar>
          </w:tcPr>
          <w:p>
            <w:pPr>
              <w:jc w:val="left"/>
            </w:pPr>
            <w:r>
              <w:rPr>
                <w:b w:val="false"/>
                <w:bCs w:val="false"/>
                <w:sz w:val="20"/>
                <w:szCs w:val="20"/>
              </w:rPr>
              <w:t xml:space="preserve">18</w:t>
            </w:r>
          </w:p>
        </w:tc>
        <w:tc>
          <w:tcPr>
            <w:tcW w:type="dxa" w:w="1300"/>
            <w:tcMar>
              <w:top w:type="dxa" w:w="60"/>
              <w:left w:type="dxa" w:w="80"/>
              <w:bottom w:type="dxa" w:w="60"/>
              <w:right w:type="dxa" w:w="80"/>
            </w:tcMar>
          </w:tcPr>
          <w:p>
            <w:pPr>
              <w:jc w:val="left"/>
            </w:pPr>
            <w:r>
              <w:rPr>
                <w:b w:val="false"/>
                <w:bCs w:val="false"/>
                <w:sz w:val="20"/>
                <w:szCs w:val="20"/>
              </w:rPr>
              <w:t xml:space="preserve">22.2%</w:t>
            </w:r>
          </w:p>
        </w:tc>
        <w:tc>
          <w:tcPr>
            <w:tcW w:type="dxa" w:w="1500"/>
            <w:tcMar>
              <w:top w:type="dxa" w:w="60"/>
              <w:left w:type="dxa" w:w="80"/>
              <w:bottom w:type="dxa" w:w="60"/>
              <w:right w:type="dxa" w:w="80"/>
            </w:tcMar>
          </w:tcPr>
          <w:p>
            <w:pPr>
              <w:jc w:val="left"/>
            </w:pPr>
            <w:r>
              <w:rPr>
                <w:b w:val="false"/>
                <w:bCs w:val="false"/>
                <w:sz w:val="20"/>
                <w:szCs w:val="20"/>
              </w:rPr>
              <w:t xml:space="preserve">9,802</w:t>
            </w:r>
          </w:p>
        </w:tc>
        <w:tc>
          <w:tcPr>
            <w:tcW w:type="dxa" w:w="1600"/>
            <w:tcMar>
              <w:top w:type="dxa" w:w="60"/>
              <w:left w:type="dxa" w:w="80"/>
              <w:bottom w:type="dxa" w:w="60"/>
              <w:right w:type="dxa" w:w="80"/>
            </w:tcMar>
          </w:tcPr>
          <w:p>
            <w:pPr>
              <w:jc w:val="left"/>
            </w:pPr>
            <w:r>
              <w:rPr>
                <w:b w:val="false"/>
                <w:bCs w:val="false"/>
                <w:sz w:val="20"/>
                <w:szCs w:val="20"/>
              </w:rPr>
              <w:t xml:space="preserve">15.0%</w:t>
            </w:r>
          </w:p>
        </w:tc>
        <w:tc>
          <w:tcPr>
            <w:tcW w:type="dxa" w:w="1400"/>
            <w:tcMar>
              <w:top w:type="dxa" w:w="60"/>
              <w:left w:type="dxa" w:w="80"/>
              <w:bottom w:type="dxa" w:w="60"/>
              <w:right w:type="dxa" w:w="80"/>
            </w:tcMar>
          </w:tcPr>
          <w:p>
            <w:pPr>
              <w:jc w:val="left"/>
            </w:pPr>
            <w:r>
              <w:rPr>
                <w:b w:val="false"/>
                <w:bCs w:val="false"/>
                <w:sz w:val="20"/>
                <w:szCs w:val="20"/>
              </w:rPr>
              <w:t xml:space="preserve">700</w:t>
            </w:r>
          </w:p>
        </w:tc>
      </w:tr>
      <w:tr>
        <w:tc>
          <w:tcPr>
            <w:tcW w:type="dxa" w:w="2000"/>
            <w:tcMar>
              <w:top w:type="dxa" w:w="60"/>
              <w:left w:type="dxa" w:w="80"/>
              <w:bottom w:type="dxa" w:w="60"/>
              <w:right w:type="dxa" w:w="80"/>
            </w:tcMar>
          </w:tcPr>
          <w:p>
            <w:pPr>
              <w:jc w:val="left"/>
            </w:pPr>
            <w:r>
              <w:rPr>
                <w:b w:val="false"/>
                <w:bCs w:val="false"/>
                <w:sz w:val="20"/>
                <w:szCs w:val="20"/>
              </w:rPr>
              <w:t xml:space="preserve">Gulberg</w:t>
            </w:r>
          </w:p>
        </w:tc>
        <w:tc>
          <w:tcPr>
            <w:tcW w:type="dxa" w:w="1300"/>
            <w:tcMar>
              <w:top w:type="dxa" w:w="60"/>
              <w:left w:type="dxa" w:w="80"/>
              <w:bottom w:type="dxa" w:w="60"/>
              <w:right w:type="dxa" w:w="80"/>
            </w:tcMar>
          </w:tcPr>
          <w:p>
            <w:pPr>
              <w:jc w:val="left"/>
            </w:pPr>
            <w:r>
              <w:rPr>
                <w:b w:val="false"/>
                <w:bCs w:val="false"/>
                <w:sz w:val="20"/>
                <w:szCs w:val="20"/>
              </w:rPr>
              <w:t xml:space="preserve">15</w:t>
            </w:r>
          </w:p>
        </w:tc>
        <w:tc>
          <w:tcPr>
            <w:tcW w:type="dxa" w:w="1300"/>
            <w:tcMar>
              <w:top w:type="dxa" w:w="60"/>
              <w:left w:type="dxa" w:w="80"/>
              <w:bottom w:type="dxa" w:w="60"/>
              <w:right w:type="dxa" w:w="80"/>
            </w:tcMar>
          </w:tcPr>
          <w:p>
            <w:pPr>
              <w:jc w:val="left"/>
            </w:pPr>
            <w:r>
              <w:rPr>
                <w:b w:val="false"/>
                <w:bCs w:val="false"/>
                <w:sz w:val="20"/>
                <w:szCs w:val="20"/>
              </w:rPr>
              <w:t xml:space="preserve">6.7%</w:t>
            </w:r>
          </w:p>
        </w:tc>
        <w:tc>
          <w:tcPr>
            <w:tcW w:type="dxa" w:w="1500"/>
            <w:tcMar>
              <w:top w:type="dxa" w:w="60"/>
              <w:left w:type="dxa" w:w="80"/>
              <w:bottom w:type="dxa" w:w="60"/>
              <w:right w:type="dxa" w:w="80"/>
            </w:tcMar>
          </w:tcPr>
          <w:p>
            <w:pPr>
              <w:jc w:val="left"/>
            </w:pPr>
            <w:r>
              <w:rPr>
                <w:b w:val="false"/>
                <w:bCs w:val="false"/>
                <w:sz w:val="20"/>
                <w:szCs w:val="20"/>
              </w:rPr>
              <w:t xml:space="preserve">8,757</w:t>
            </w:r>
          </w:p>
        </w:tc>
        <w:tc>
          <w:tcPr>
            <w:tcW w:type="dxa" w:w="1600"/>
            <w:tcMar>
              <w:top w:type="dxa" w:w="60"/>
              <w:left w:type="dxa" w:w="80"/>
              <w:bottom w:type="dxa" w:w="60"/>
              <w:right w:type="dxa" w:w="80"/>
            </w:tcMar>
          </w:tcPr>
          <w:p>
            <w:pPr>
              <w:jc w:val="left"/>
            </w:pPr>
            <w:r>
              <w:rPr>
                <w:b w:val="false"/>
                <w:bCs w:val="false"/>
                <w:sz w:val="20"/>
                <w:szCs w:val="20"/>
              </w:rPr>
              <w:t xml:space="preserve">13.4%</w:t>
            </w:r>
          </w:p>
        </w:tc>
        <w:tc>
          <w:tcPr>
            <w:tcW w:type="dxa" w:w="1400"/>
            <w:tcMar>
              <w:top w:type="dxa" w:w="60"/>
              <w:left w:type="dxa" w:w="80"/>
              <w:bottom w:type="dxa" w:w="60"/>
              <w:right w:type="dxa" w:w="80"/>
            </w:tcMar>
          </w:tcPr>
          <w:p>
            <w:pPr>
              <w:jc w:val="left"/>
            </w:pPr>
            <w:r>
              <w:rPr>
                <w:b w:val="false"/>
                <w:bCs w:val="false"/>
                <w:sz w:val="20"/>
                <w:szCs w:val="20"/>
              </w:rPr>
              <w:t xml:space="preserve">626</w:t>
            </w:r>
          </w:p>
        </w:tc>
      </w:tr>
      <w:tr>
        <w:tc>
          <w:tcPr>
            <w:tcW w:type="dxa" w:w="2000"/>
            <w:tcMar>
              <w:top w:type="dxa" w:w="60"/>
              <w:left w:type="dxa" w:w="80"/>
              <w:bottom w:type="dxa" w:w="60"/>
              <w:right w:type="dxa" w:w="80"/>
            </w:tcMar>
          </w:tcPr>
          <w:p>
            <w:pPr>
              <w:jc w:val="left"/>
            </w:pPr>
            <w:r>
              <w:rPr>
                <w:b w:val="false"/>
                <w:bCs w:val="false"/>
                <w:sz w:val="20"/>
                <w:szCs w:val="20"/>
              </w:rPr>
              <w:t xml:space="preserve">Iqbal Town</w:t>
            </w:r>
          </w:p>
        </w:tc>
        <w:tc>
          <w:tcPr>
            <w:tcW w:type="dxa" w:w="1300"/>
            <w:tcMar>
              <w:top w:type="dxa" w:w="60"/>
              <w:left w:type="dxa" w:w="80"/>
              <w:bottom w:type="dxa" w:w="60"/>
              <w:right w:type="dxa" w:w="80"/>
            </w:tcMar>
          </w:tcPr>
          <w:p>
            <w:pPr>
              <w:jc w:val="left"/>
            </w:pPr>
            <w:r>
              <w:rPr>
                <w:b w:val="false"/>
                <w:bCs w:val="false"/>
                <w:sz w:val="20"/>
                <w:szCs w:val="20"/>
              </w:rPr>
              <w:t xml:space="preserve">15</w:t>
            </w:r>
          </w:p>
        </w:tc>
        <w:tc>
          <w:tcPr>
            <w:tcW w:type="dxa" w:w="1300"/>
            <w:tcMar>
              <w:top w:type="dxa" w:w="60"/>
              <w:left w:type="dxa" w:w="80"/>
              <w:bottom w:type="dxa" w:w="60"/>
              <w:right w:type="dxa" w:w="80"/>
            </w:tcMar>
          </w:tcPr>
          <w:p>
            <w:pPr>
              <w:jc w:val="left"/>
            </w:pPr>
            <w:r>
              <w:rPr>
                <w:b w:val="false"/>
                <w:bCs w:val="false"/>
                <w:sz w:val="20"/>
                <w:szCs w:val="20"/>
              </w:rPr>
              <w:t xml:space="preserve">20.0%</w:t>
            </w:r>
          </w:p>
        </w:tc>
        <w:tc>
          <w:tcPr>
            <w:tcW w:type="dxa" w:w="1500"/>
            <w:tcMar>
              <w:top w:type="dxa" w:w="60"/>
              <w:left w:type="dxa" w:w="80"/>
              <w:bottom w:type="dxa" w:w="60"/>
              <w:right w:type="dxa" w:w="80"/>
            </w:tcMar>
          </w:tcPr>
          <w:p>
            <w:pPr>
              <w:jc w:val="left"/>
            </w:pPr>
            <w:r>
              <w:rPr>
                <w:b w:val="false"/>
                <w:bCs w:val="false"/>
                <w:sz w:val="20"/>
                <w:szCs w:val="20"/>
              </w:rPr>
              <w:t xml:space="preserve">8,466</w:t>
            </w:r>
          </w:p>
        </w:tc>
        <w:tc>
          <w:tcPr>
            <w:tcW w:type="dxa" w:w="1600"/>
            <w:tcMar>
              <w:top w:type="dxa" w:w="60"/>
              <w:left w:type="dxa" w:w="80"/>
              <w:bottom w:type="dxa" w:w="60"/>
              <w:right w:type="dxa" w:w="80"/>
            </w:tcMar>
          </w:tcPr>
          <w:p>
            <w:pPr>
              <w:jc w:val="left"/>
            </w:pPr>
            <w:r>
              <w:rPr>
                <w:b w:val="false"/>
                <w:bCs w:val="false"/>
                <w:sz w:val="20"/>
                <w:szCs w:val="20"/>
              </w:rPr>
              <w:t xml:space="preserve">12.9%</w:t>
            </w:r>
          </w:p>
        </w:tc>
        <w:tc>
          <w:tcPr>
            <w:tcW w:type="dxa" w:w="1400"/>
            <w:tcMar>
              <w:top w:type="dxa" w:w="60"/>
              <w:left w:type="dxa" w:w="80"/>
              <w:bottom w:type="dxa" w:w="60"/>
              <w:right w:type="dxa" w:w="80"/>
            </w:tcMar>
          </w:tcPr>
          <w:p>
            <w:pPr>
              <w:jc w:val="left"/>
            </w:pPr>
            <w:r>
              <w:rPr>
                <w:b w:val="false"/>
                <w:bCs w:val="false"/>
                <w:sz w:val="20"/>
                <w:szCs w:val="20"/>
              </w:rPr>
              <w:t xml:space="preserve">706</w:t>
            </w:r>
          </w:p>
        </w:tc>
      </w:tr>
      <w:tr>
        <w:tc>
          <w:tcPr>
            <w:tcW w:type="dxa" w:w="2000"/>
            <w:tcMar>
              <w:top w:type="dxa" w:w="60"/>
              <w:left w:type="dxa" w:w="80"/>
              <w:bottom w:type="dxa" w:w="60"/>
              <w:right w:type="dxa" w:w="80"/>
            </w:tcMar>
          </w:tcPr>
          <w:p>
            <w:pPr>
              <w:jc w:val="left"/>
            </w:pPr>
            <w:r>
              <w:rPr>
                <w:b w:val="false"/>
                <w:bCs w:val="false"/>
                <w:sz w:val="20"/>
                <w:szCs w:val="20"/>
              </w:rPr>
              <w:t xml:space="preserve">Bahria Town</w:t>
            </w:r>
          </w:p>
        </w:tc>
        <w:tc>
          <w:tcPr>
            <w:tcW w:type="dxa" w:w="1300"/>
            <w:tcMar>
              <w:top w:type="dxa" w:w="60"/>
              <w:left w:type="dxa" w:w="80"/>
              <w:bottom w:type="dxa" w:w="60"/>
              <w:right w:type="dxa" w:w="80"/>
            </w:tcMar>
          </w:tcPr>
          <w:p>
            <w:pPr>
              <w:jc w:val="left"/>
            </w:pPr>
            <w:r>
              <w:rPr>
                <w:b w:val="false"/>
                <w:bCs w:val="false"/>
                <w:sz w:val="20"/>
                <w:szCs w:val="20"/>
              </w:rPr>
              <w:t xml:space="preserve">15</w:t>
            </w:r>
          </w:p>
        </w:tc>
        <w:tc>
          <w:tcPr>
            <w:tcW w:type="dxa" w:w="1300"/>
            <w:tcMar>
              <w:top w:type="dxa" w:w="60"/>
              <w:left w:type="dxa" w:w="80"/>
              <w:bottom w:type="dxa" w:w="60"/>
              <w:right w:type="dxa" w:w="80"/>
            </w:tcMar>
          </w:tcPr>
          <w:p>
            <w:pPr>
              <w:jc w:val="left"/>
            </w:pPr>
            <w:r>
              <w:rPr>
                <w:b w:val="false"/>
                <w:bCs w:val="false"/>
                <w:sz w:val="20"/>
                <w:szCs w:val="20"/>
              </w:rPr>
              <w:t xml:space="preserve">20.0%</w:t>
            </w:r>
          </w:p>
        </w:tc>
        <w:tc>
          <w:tcPr>
            <w:tcW w:type="dxa" w:w="1500"/>
            <w:tcMar>
              <w:top w:type="dxa" w:w="60"/>
              <w:left w:type="dxa" w:w="80"/>
              <w:bottom w:type="dxa" w:w="60"/>
              <w:right w:type="dxa" w:w="80"/>
            </w:tcMar>
          </w:tcPr>
          <w:p>
            <w:pPr>
              <w:jc w:val="left"/>
            </w:pPr>
            <w:r>
              <w:rPr>
                <w:b w:val="false"/>
                <w:bCs w:val="false"/>
                <w:sz w:val="20"/>
                <w:szCs w:val="20"/>
              </w:rPr>
              <w:t xml:space="preserve">8,145</w:t>
            </w:r>
          </w:p>
        </w:tc>
        <w:tc>
          <w:tcPr>
            <w:tcW w:type="dxa" w:w="1600"/>
            <w:tcMar>
              <w:top w:type="dxa" w:w="60"/>
              <w:left w:type="dxa" w:w="80"/>
              <w:bottom w:type="dxa" w:w="60"/>
              <w:right w:type="dxa" w:w="80"/>
            </w:tcMar>
          </w:tcPr>
          <w:p>
            <w:pPr>
              <w:jc w:val="left"/>
            </w:pPr>
            <w:r>
              <w:rPr>
                <w:b w:val="false"/>
                <w:bCs w:val="false"/>
                <w:sz w:val="20"/>
                <w:szCs w:val="20"/>
              </w:rPr>
              <w:t xml:space="preserve">12.4%</w:t>
            </w:r>
          </w:p>
        </w:tc>
        <w:tc>
          <w:tcPr>
            <w:tcW w:type="dxa" w:w="1400"/>
            <w:tcMar>
              <w:top w:type="dxa" w:w="60"/>
              <w:left w:type="dxa" w:w="80"/>
              <w:bottom w:type="dxa" w:w="60"/>
              <w:right w:type="dxa" w:w="80"/>
            </w:tcMar>
          </w:tcPr>
          <w:p>
            <w:pPr>
              <w:jc w:val="left"/>
            </w:pPr>
            <w:r>
              <w:rPr>
                <w:b w:val="false"/>
                <w:bCs w:val="false"/>
                <w:sz w:val="20"/>
                <w:szCs w:val="20"/>
              </w:rPr>
              <w:t xml:space="preserve">679</w:t>
            </w:r>
          </w:p>
        </w:tc>
      </w:tr>
      <w:tr>
        <w:tc>
          <w:tcPr>
            <w:tcW w:type="dxa" w:w="2000"/>
            <w:tcMar>
              <w:top w:type="dxa" w:w="60"/>
              <w:left w:type="dxa" w:w="80"/>
              <w:bottom w:type="dxa" w:w="60"/>
              <w:right w:type="dxa" w:w="80"/>
            </w:tcMar>
          </w:tcPr>
          <w:p>
            <w:pPr>
              <w:jc w:val="left"/>
            </w:pPr>
            <w:r>
              <w:rPr>
                <w:b w:val="false"/>
                <w:bCs w:val="false"/>
                <w:sz w:val="20"/>
                <w:szCs w:val="20"/>
              </w:rPr>
              <w:t xml:space="preserve">Lahore</w:t>
            </w:r>
          </w:p>
        </w:tc>
        <w:tc>
          <w:tcPr>
            <w:tcW w:type="dxa" w:w="1300"/>
            <w:tcMar>
              <w:top w:type="dxa" w:w="60"/>
              <w:left w:type="dxa" w:w="80"/>
              <w:bottom w:type="dxa" w:w="60"/>
              <w:right w:type="dxa" w:w="80"/>
            </w:tcMar>
          </w:tcPr>
          <w:p>
            <w:pPr>
              <w:jc w:val="left"/>
            </w:pPr>
            <w:r>
              <w:rPr>
                <w:b w:val="false"/>
                <w:bCs w:val="false"/>
                <w:sz w:val="20"/>
                <w:szCs w:val="20"/>
              </w:rPr>
              <w:t xml:space="preserve">10</w:t>
            </w:r>
          </w:p>
        </w:tc>
        <w:tc>
          <w:tcPr>
            <w:tcW w:type="dxa" w:w="1300"/>
            <w:tcMar>
              <w:top w:type="dxa" w:w="60"/>
              <w:left w:type="dxa" w:w="80"/>
              <w:bottom w:type="dxa" w:w="60"/>
              <w:right w:type="dxa" w:w="80"/>
            </w:tcMar>
          </w:tcPr>
          <w:p>
            <w:pPr>
              <w:jc w:val="left"/>
            </w:pPr>
            <w:r>
              <w:rPr>
                <w:b w:val="false"/>
                <w:bCs w:val="false"/>
                <w:sz w:val="20"/>
                <w:szCs w:val="20"/>
              </w:rPr>
              <w:t xml:space="preserve">30.0%</w:t>
            </w:r>
          </w:p>
        </w:tc>
        <w:tc>
          <w:tcPr>
            <w:tcW w:type="dxa" w:w="1500"/>
            <w:tcMar>
              <w:top w:type="dxa" w:w="60"/>
              <w:left w:type="dxa" w:w="80"/>
              <w:bottom w:type="dxa" w:w="60"/>
              <w:right w:type="dxa" w:w="80"/>
            </w:tcMar>
          </w:tcPr>
          <w:p>
            <w:pPr>
              <w:jc w:val="left"/>
            </w:pPr>
            <w:r>
              <w:rPr>
                <w:b w:val="false"/>
                <w:bCs w:val="false"/>
                <w:sz w:val="20"/>
                <w:szCs w:val="20"/>
              </w:rPr>
              <w:t xml:space="preserve">5,281</w:t>
            </w:r>
          </w:p>
        </w:tc>
        <w:tc>
          <w:tcPr>
            <w:tcW w:type="dxa" w:w="1600"/>
            <w:tcMar>
              <w:top w:type="dxa" w:w="60"/>
              <w:left w:type="dxa" w:w="80"/>
              <w:bottom w:type="dxa" w:w="60"/>
              <w:right w:type="dxa" w:w="80"/>
            </w:tcMar>
          </w:tcPr>
          <w:p>
            <w:pPr>
              <w:jc w:val="left"/>
            </w:pPr>
            <w:r>
              <w:rPr>
                <w:b w:val="false"/>
                <w:bCs w:val="false"/>
                <w:sz w:val="20"/>
                <w:szCs w:val="20"/>
              </w:rPr>
              <w:t xml:space="preserve">8.1%</w:t>
            </w:r>
          </w:p>
        </w:tc>
        <w:tc>
          <w:tcPr>
            <w:tcW w:type="dxa" w:w="1400"/>
            <w:tcMar>
              <w:top w:type="dxa" w:w="60"/>
              <w:left w:type="dxa" w:w="80"/>
              <w:bottom w:type="dxa" w:w="60"/>
              <w:right w:type="dxa" w:w="80"/>
            </w:tcMar>
          </w:tcPr>
          <w:p>
            <w:pPr>
              <w:jc w:val="left"/>
            </w:pPr>
            <w:r>
              <w:rPr>
                <w:b w:val="false"/>
                <w:bCs w:val="false"/>
                <w:sz w:val="20"/>
                <w:szCs w:val="20"/>
              </w:rPr>
              <w:t xml:space="preserve">754</w:t>
            </w:r>
          </w:p>
        </w:tc>
      </w:tr>
      <w:tr>
        <w:tc>
          <w:tcPr>
            <w:tcW w:type="dxa" w:w="2000"/>
            <w:tcMar>
              <w:top w:type="dxa" w:w="60"/>
              <w:left w:type="dxa" w:w="80"/>
              <w:bottom w:type="dxa" w:w="60"/>
              <w:right w:type="dxa" w:w="80"/>
            </w:tcMar>
          </w:tcPr>
          <w:p>
            <w:pPr>
              <w:jc w:val="left"/>
            </w:pPr>
            <w:r>
              <w:rPr>
                <w:b w:val="false"/>
                <w:bCs w:val="false"/>
                <w:sz w:val="20"/>
                <w:szCs w:val="20"/>
              </w:rPr>
              <w:t xml:space="preserve">DHA</w:t>
            </w:r>
          </w:p>
        </w:tc>
        <w:tc>
          <w:tcPr>
            <w:tcW w:type="dxa" w:w="1300"/>
            <w:tcMar>
              <w:top w:type="dxa" w:w="60"/>
              <w:left w:type="dxa" w:w="80"/>
              <w:bottom w:type="dxa" w:w="60"/>
              <w:right w:type="dxa" w:w="80"/>
            </w:tcMar>
          </w:tcPr>
          <w:p>
            <w:pPr>
              <w:jc w:val="left"/>
            </w:pPr>
            <w:r>
              <w:rPr>
                <w:b w:val="false"/>
                <w:bCs w:val="false"/>
                <w:sz w:val="20"/>
                <w:szCs w:val="20"/>
              </w:rPr>
              <w:t xml:space="preserve">7</w:t>
            </w:r>
          </w:p>
        </w:tc>
        <w:tc>
          <w:tcPr>
            <w:tcW w:type="dxa" w:w="1300"/>
            <w:tcMar>
              <w:top w:type="dxa" w:w="60"/>
              <w:left w:type="dxa" w:w="80"/>
              <w:bottom w:type="dxa" w:w="60"/>
              <w:right w:type="dxa" w:w="80"/>
            </w:tcMar>
          </w:tcPr>
          <w:p>
            <w:pPr>
              <w:jc w:val="left"/>
            </w:pPr>
            <w:r>
              <w:rPr>
                <w:b w:val="false"/>
                <w:bCs w:val="false"/>
                <w:sz w:val="20"/>
                <w:szCs w:val="20"/>
              </w:rPr>
              <w:t xml:space="preserve">14.3%</w:t>
            </w:r>
          </w:p>
        </w:tc>
        <w:tc>
          <w:tcPr>
            <w:tcW w:type="dxa" w:w="1500"/>
            <w:tcMar>
              <w:top w:type="dxa" w:w="60"/>
              <w:left w:type="dxa" w:w="80"/>
              <w:bottom w:type="dxa" w:w="60"/>
              <w:right w:type="dxa" w:w="80"/>
            </w:tcMar>
          </w:tcPr>
          <w:p>
            <w:pPr>
              <w:jc w:val="left"/>
            </w:pPr>
            <w:r>
              <w:rPr>
                <w:b w:val="false"/>
                <w:bCs w:val="false"/>
                <w:sz w:val="20"/>
                <w:szCs w:val="20"/>
              </w:rPr>
              <w:t xml:space="preserve">3,514</w:t>
            </w:r>
          </w:p>
        </w:tc>
        <w:tc>
          <w:tcPr>
            <w:tcW w:type="dxa" w:w="1600"/>
            <w:tcMar>
              <w:top w:type="dxa" w:w="60"/>
              <w:left w:type="dxa" w:w="80"/>
              <w:bottom w:type="dxa" w:w="60"/>
              <w:right w:type="dxa" w:w="80"/>
            </w:tcMar>
          </w:tcPr>
          <w:p>
            <w:pPr>
              <w:jc w:val="left"/>
            </w:pPr>
            <w:r>
              <w:rPr>
                <w:b w:val="false"/>
                <w:bCs w:val="false"/>
                <w:sz w:val="20"/>
                <w:szCs w:val="20"/>
              </w:rPr>
              <w:t xml:space="preserve">5.4%</w:t>
            </w:r>
          </w:p>
        </w:tc>
        <w:tc>
          <w:tcPr>
            <w:tcW w:type="dxa" w:w="1400"/>
            <w:tcMar>
              <w:top w:type="dxa" w:w="60"/>
              <w:left w:type="dxa" w:w="80"/>
              <w:bottom w:type="dxa" w:w="60"/>
              <w:right w:type="dxa" w:w="80"/>
            </w:tcMar>
          </w:tcPr>
          <w:p>
            <w:pPr>
              <w:jc w:val="left"/>
            </w:pPr>
            <w:r>
              <w:rPr>
                <w:b w:val="false"/>
                <w:bCs w:val="false"/>
                <w:sz w:val="20"/>
                <w:szCs w:val="20"/>
              </w:rPr>
              <w:t xml:space="preserve">586</w:t>
            </w:r>
          </w:p>
        </w:tc>
      </w:tr>
    </w:tbl>
    <w:p>
      <w:pPr>
        <w:spacing w:after="120"/>
      </w:pPr>
      <w:r>
        <w:t xml:space="preserve"/>
      </w:r>
    </w:p>
    <w:p>
      <w:pPr>
        <w:spacing w:after="120"/>
      </w:pPr>
      <w:r>
        <w:t xml:space="preserve">Johar Town is the clearest high-volume/high-revenue hub (17.3% of revenue) but also runs an above-average 19.0% cancellation rate — the single largest combination of scale and risk. Gulberg is the standout low-cancellation location (6.7%) despite mid-tier volume, worth studying as an operational benchmark.</w:t>
      </w:r>
    </w:p>
    <w:p>
      <w:pPr>
        <w:pStyle w:val="Heading2"/>
        <w:spacing w:after="100" w:before="220"/>
      </w:pPr>
      <w:r>
        <w:t xml:space="preserve">6.2 By payment method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300"/>
        <w:gridCol w:w="1600"/>
        <w:gridCol w:w="1700"/>
        <w:gridCol w:w="1400"/>
      </w:tblGrid>
      <w:tr>
        <w:trPr>
          <w:tblHeader/>
        </w:trPr>
        <w:tc>
          <w:tcPr>
            <w:tcW w:type="dxa" w:w="1800"/>
            <w:shd w:fill="1F4E78" w:val="clear"/>
            <w:tcMar>
              <w:top w:type="dxa" w:w="60"/>
              <w:left w:type="dxa" w:w="80"/>
              <w:bottom w:type="dxa" w:w="60"/>
              <w:right w:type="dxa" w:w="80"/>
            </w:tcMar>
          </w:tcPr>
          <w:p>
            <w:pPr>
              <w:jc w:val="left"/>
            </w:pPr>
            <w:r>
              <w:rPr>
                <w:b/>
                <w:bCs/>
                <w:color w:val="FFFFFF"/>
                <w:sz w:val="20"/>
                <w:szCs w:val="20"/>
              </w:rPr>
              <w:t xml:space="preserve">Method</w:t>
            </w:r>
          </w:p>
        </w:tc>
        <w:tc>
          <w:tcPr>
            <w:tcW w:type="dxa" w:w="1300"/>
            <w:shd w:fill="1F4E78" w:val="clear"/>
            <w:tcMar>
              <w:top w:type="dxa" w:w="60"/>
              <w:left w:type="dxa" w:w="80"/>
              <w:bottom w:type="dxa" w:w="60"/>
              <w:right w:type="dxa" w:w="80"/>
            </w:tcMar>
          </w:tcPr>
          <w:p>
            <w:pPr>
              <w:jc w:val="left"/>
            </w:pPr>
            <w:r>
              <w:rPr>
                <w:b/>
                <w:bCs/>
                <w:color w:val="FFFFFF"/>
                <w:sz w:val="20"/>
                <w:szCs w:val="20"/>
              </w:rPr>
              <w:t xml:space="preserve">Rides</w:t>
            </w:r>
          </w:p>
        </w:tc>
        <w:tc>
          <w:tcPr>
            <w:tcW w:type="dxa" w:w="1300"/>
            <w:shd w:fill="1F4E78" w:val="clear"/>
            <w:tcMar>
              <w:top w:type="dxa" w:w="60"/>
              <w:left w:type="dxa" w:w="80"/>
              <w:bottom w:type="dxa" w:w="60"/>
              <w:right w:type="dxa" w:w="80"/>
            </w:tcMar>
          </w:tcPr>
          <w:p>
            <w:pPr>
              <w:jc w:val="left"/>
            </w:pPr>
            <w:r>
              <w:rPr>
                <w:b/>
                <w:bCs/>
                <w:color w:val="FFFFFF"/>
                <w:sz w:val="20"/>
                <w:szCs w:val="20"/>
              </w:rPr>
              <w:t xml:space="preserve">Cancel %</w:t>
            </w:r>
          </w:p>
        </w:tc>
        <w:tc>
          <w:tcPr>
            <w:tcW w:type="dxa" w:w="1600"/>
            <w:shd w:fill="1F4E78" w:val="clear"/>
            <w:tcMar>
              <w:top w:type="dxa" w:w="60"/>
              <w:left w:type="dxa" w:w="80"/>
              <w:bottom w:type="dxa" w:w="60"/>
              <w:right w:type="dxa" w:w="80"/>
            </w:tcMar>
          </w:tcPr>
          <w:p>
            <w:pPr>
              <w:jc w:val="left"/>
            </w:pPr>
            <w:r>
              <w:rPr>
                <w:b/>
                <w:bCs/>
                <w:color w:val="FFFFFF"/>
                <w:sz w:val="20"/>
                <w:szCs w:val="20"/>
              </w:rPr>
              <w:t xml:space="preserve">Revenue</w:t>
            </w:r>
          </w:p>
        </w:tc>
        <w:tc>
          <w:tcPr>
            <w:tcW w:type="dxa" w:w="1700"/>
            <w:shd w:fill="1F4E78" w:val="clear"/>
            <w:tcMar>
              <w:top w:type="dxa" w:w="60"/>
              <w:left w:type="dxa" w:w="80"/>
              <w:bottom w:type="dxa" w:w="60"/>
              <w:right w:type="dxa" w:w="80"/>
            </w:tcMar>
          </w:tcPr>
          <w:p>
            <w:pPr>
              <w:jc w:val="left"/>
            </w:pPr>
            <w:r>
              <w:rPr>
                <w:b/>
                <w:bCs/>
                <w:color w:val="FFFFFF"/>
                <w:sz w:val="20"/>
                <w:szCs w:val="20"/>
              </w:rPr>
              <w:t xml:space="preserve">% of Revenue</w:t>
            </w:r>
          </w:p>
        </w:tc>
        <w:tc>
          <w:tcPr>
            <w:tcW w:type="dxa" w:w="1400"/>
            <w:shd w:fill="1F4E78" w:val="clear"/>
            <w:tcMar>
              <w:top w:type="dxa" w:w="60"/>
              <w:left w:type="dxa" w:w="80"/>
              <w:bottom w:type="dxa" w:w="60"/>
              <w:right w:type="dxa" w:w="80"/>
            </w:tcMar>
          </w:tcPr>
          <w:p>
            <w:pPr>
              <w:jc w:val="left"/>
            </w:pPr>
            <w:r>
              <w:rPr>
                <w:b/>
                <w:bCs/>
                <w:color w:val="FFFFFF"/>
                <w:sz w:val="20"/>
                <w:szCs w:val="20"/>
              </w:rPr>
              <w:t xml:space="preserve">Avg Fare</w:t>
            </w:r>
          </w:p>
        </w:tc>
      </w:tr>
      <w:tr>
        <w:tc>
          <w:tcPr>
            <w:tcW w:type="dxa" w:w="1800"/>
            <w:tcMar>
              <w:top w:type="dxa" w:w="60"/>
              <w:left w:type="dxa" w:w="80"/>
              <w:bottom w:type="dxa" w:w="60"/>
              <w:right w:type="dxa" w:w="80"/>
            </w:tcMar>
          </w:tcPr>
          <w:p>
            <w:pPr>
              <w:jc w:val="left"/>
            </w:pPr>
            <w:r>
              <w:rPr>
                <w:b w:val="false"/>
                <w:bCs w:val="false"/>
                <w:sz w:val="20"/>
                <w:szCs w:val="20"/>
              </w:rPr>
              <w:t xml:space="preserve">Card</w:t>
            </w:r>
          </w:p>
        </w:tc>
        <w:tc>
          <w:tcPr>
            <w:tcW w:type="dxa" w:w="1300"/>
            <w:tcMar>
              <w:top w:type="dxa" w:w="60"/>
              <w:left w:type="dxa" w:w="80"/>
              <w:bottom w:type="dxa" w:w="60"/>
              <w:right w:type="dxa" w:w="80"/>
            </w:tcMar>
          </w:tcPr>
          <w:p>
            <w:pPr>
              <w:jc w:val="left"/>
            </w:pPr>
            <w:r>
              <w:rPr>
                <w:b w:val="false"/>
                <w:bCs w:val="false"/>
                <w:sz w:val="20"/>
                <w:szCs w:val="20"/>
              </w:rPr>
              <w:t xml:space="preserve">45</w:t>
            </w:r>
          </w:p>
        </w:tc>
        <w:tc>
          <w:tcPr>
            <w:tcW w:type="dxa" w:w="1300"/>
            <w:tcMar>
              <w:top w:type="dxa" w:w="60"/>
              <w:left w:type="dxa" w:w="80"/>
              <w:bottom w:type="dxa" w:w="60"/>
              <w:right w:type="dxa" w:w="80"/>
            </w:tcMar>
          </w:tcPr>
          <w:p>
            <w:pPr>
              <w:jc w:val="left"/>
            </w:pPr>
            <w:r>
              <w:rPr>
                <w:b w:val="false"/>
                <w:bCs w:val="false"/>
                <w:sz w:val="20"/>
                <w:szCs w:val="20"/>
              </w:rPr>
              <w:t xml:space="preserve">15.6%</w:t>
            </w:r>
          </w:p>
        </w:tc>
        <w:tc>
          <w:tcPr>
            <w:tcW w:type="dxa" w:w="1600"/>
            <w:tcMar>
              <w:top w:type="dxa" w:w="60"/>
              <w:left w:type="dxa" w:w="80"/>
              <w:bottom w:type="dxa" w:w="60"/>
              <w:right w:type="dxa" w:w="80"/>
            </w:tcMar>
          </w:tcPr>
          <w:p>
            <w:pPr>
              <w:jc w:val="left"/>
            </w:pPr>
            <w:r>
              <w:rPr>
                <w:b w:val="false"/>
                <w:bCs w:val="false"/>
                <w:sz w:val="20"/>
                <w:szCs w:val="20"/>
              </w:rPr>
              <w:t xml:space="preserve">26,425</w:t>
            </w:r>
          </w:p>
        </w:tc>
        <w:tc>
          <w:tcPr>
            <w:tcW w:type="dxa" w:w="1700"/>
            <w:tcMar>
              <w:top w:type="dxa" w:w="60"/>
              <w:left w:type="dxa" w:w="80"/>
              <w:bottom w:type="dxa" w:w="60"/>
              <w:right w:type="dxa" w:w="80"/>
            </w:tcMar>
          </w:tcPr>
          <w:p>
            <w:pPr>
              <w:jc w:val="left"/>
            </w:pPr>
            <w:r>
              <w:rPr>
                <w:b w:val="false"/>
                <w:bCs w:val="false"/>
                <w:sz w:val="20"/>
                <w:szCs w:val="20"/>
              </w:rPr>
              <w:t xml:space="preserve">40.4%</w:t>
            </w:r>
          </w:p>
        </w:tc>
        <w:tc>
          <w:tcPr>
            <w:tcW w:type="dxa" w:w="1400"/>
            <w:tcMar>
              <w:top w:type="dxa" w:w="60"/>
              <w:left w:type="dxa" w:w="80"/>
              <w:bottom w:type="dxa" w:w="60"/>
              <w:right w:type="dxa" w:w="80"/>
            </w:tcMar>
          </w:tcPr>
          <w:p>
            <w:pPr>
              <w:jc w:val="left"/>
            </w:pPr>
            <w:r>
              <w:rPr>
                <w:b w:val="false"/>
                <w:bCs w:val="false"/>
                <w:sz w:val="20"/>
                <w:szCs w:val="20"/>
              </w:rPr>
              <w:t xml:space="preserve">695</w:t>
            </w:r>
          </w:p>
        </w:tc>
      </w:tr>
      <w:tr>
        <w:tc>
          <w:tcPr>
            <w:tcW w:type="dxa" w:w="1800"/>
            <w:tcMar>
              <w:top w:type="dxa" w:w="60"/>
              <w:left w:type="dxa" w:w="80"/>
              <w:bottom w:type="dxa" w:w="60"/>
              <w:right w:type="dxa" w:w="80"/>
            </w:tcMar>
          </w:tcPr>
          <w:p>
            <w:pPr>
              <w:jc w:val="left"/>
            </w:pPr>
            <w:r>
              <w:rPr>
                <w:b w:val="false"/>
                <w:bCs w:val="false"/>
                <w:sz w:val="20"/>
                <w:szCs w:val="20"/>
              </w:rPr>
              <w:t xml:space="preserve">Cash</w:t>
            </w:r>
          </w:p>
        </w:tc>
        <w:tc>
          <w:tcPr>
            <w:tcW w:type="dxa" w:w="1300"/>
            <w:tcMar>
              <w:top w:type="dxa" w:w="60"/>
              <w:left w:type="dxa" w:w="80"/>
              <w:bottom w:type="dxa" w:w="60"/>
              <w:right w:type="dxa" w:w="80"/>
            </w:tcMar>
          </w:tcPr>
          <w:p>
            <w:pPr>
              <w:jc w:val="left"/>
            </w:pPr>
            <w:r>
              <w:rPr>
                <w:b w:val="false"/>
                <w:bCs w:val="false"/>
                <w:sz w:val="20"/>
                <w:szCs w:val="20"/>
              </w:rPr>
              <w:t xml:space="preserve">42</w:t>
            </w:r>
          </w:p>
        </w:tc>
        <w:tc>
          <w:tcPr>
            <w:tcW w:type="dxa" w:w="1300"/>
            <w:tcMar>
              <w:top w:type="dxa" w:w="60"/>
              <w:left w:type="dxa" w:w="80"/>
              <w:bottom w:type="dxa" w:w="60"/>
              <w:right w:type="dxa" w:w="80"/>
            </w:tcMar>
          </w:tcPr>
          <w:p>
            <w:pPr>
              <w:jc w:val="left"/>
            </w:pPr>
            <w:r>
              <w:rPr>
                <w:b w:val="false"/>
                <w:bCs w:val="false"/>
                <w:sz w:val="20"/>
                <w:szCs w:val="20"/>
              </w:rPr>
              <w:t xml:space="preserve">21.4%</w:t>
            </w:r>
          </w:p>
        </w:tc>
        <w:tc>
          <w:tcPr>
            <w:tcW w:type="dxa" w:w="1600"/>
            <w:tcMar>
              <w:top w:type="dxa" w:w="60"/>
              <w:left w:type="dxa" w:w="80"/>
              <w:bottom w:type="dxa" w:w="60"/>
              <w:right w:type="dxa" w:w="80"/>
            </w:tcMar>
          </w:tcPr>
          <w:p>
            <w:pPr>
              <w:jc w:val="left"/>
            </w:pPr>
            <w:r>
              <w:rPr>
                <w:b w:val="false"/>
                <w:bCs w:val="false"/>
                <w:sz w:val="20"/>
                <w:szCs w:val="20"/>
              </w:rPr>
              <w:t xml:space="preserve">21,548</w:t>
            </w:r>
          </w:p>
        </w:tc>
        <w:tc>
          <w:tcPr>
            <w:tcW w:type="dxa" w:w="1700"/>
            <w:tcMar>
              <w:top w:type="dxa" w:w="60"/>
              <w:left w:type="dxa" w:w="80"/>
              <w:bottom w:type="dxa" w:w="60"/>
              <w:right w:type="dxa" w:w="80"/>
            </w:tcMar>
          </w:tcPr>
          <w:p>
            <w:pPr>
              <w:jc w:val="left"/>
            </w:pPr>
            <w:r>
              <w:rPr>
                <w:b w:val="false"/>
                <w:bCs w:val="false"/>
                <w:sz w:val="20"/>
                <w:szCs w:val="20"/>
              </w:rPr>
              <w:t xml:space="preserve">32.9%</w:t>
            </w:r>
          </w:p>
        </w:tc>
        <w:tc>
          <w:tcPr>
            <w:tcW w:type="dxa" w:w="1400"/>
            <w:tcMar>
              <w:top w:type="dxa" w:w="60"/>
              <w:left w:type="dxa" w:w="80"/>
              <w:bottom w:type="dxa" w:w="60"/>
              <w:right w:type="dxa" w:w="80"/>
            </w:tcMar>
          </w:tcPr>
          <w:p>
            <w:pPr>
              <w:jc w:val="left"/>
            </w:pPr>
            <w:r>
              <w:rPr>
                <w:b w:val="false"/>
                <w:bCs w:val="false"/>
                <w:sz w:val="20"/>
                <w:szCs w:val="20"/>
              </w:rPr>
              <w:t xml:space="preserve">653</w:t>
            </w:r>
          </w:p>
        </w:tc>
      </w:tr>
      <w:tr>
        <w:tc>
          <w:tcPr>
            <w:tcW w:type="dxa" w:w="1800"/>
            <w:tcMar>
              <w:top w:type="dxa" w:w="60"/>
              <w:left w:type="dxa" w:w="80"/>
              <w:bottom w:type="dxa" w:w="60"/>
              <w:right w:type="dxa" w:w="80"/>
            </w:tcMar>
          </w:tcPr>
          <w:p>
            <w:pPr>
              <w:jc w:val="left"/>
            </w:pPr>
            <w:r>
              <w:rPr>
                <w:b w:val="false"/>
                <w:bCs w:val="false"/>
                <w:sz w:val="20"/>
                <w:szCs w:val="20"/>
              </w:rPr>
              <w:t xml:space="preserve">Wallet</w:t>
            </w:r>
          </w:p>
        </w:tc>
        <w:tc>
          <w:tcPr>
            <w:tcW w:type="dxa" w:w="1300"/>
            <w:tcMar>
              <w:top w:type="dxa" w:w="60"/>
              <w:left w:type="dxa" w:w="80"/>
              <w:bottom w:type="dxa" w:w="60"/>
              <w:right w:type="dxa" w:w="80"/>
            </w:tcMar>
          </w:tcPr>
          <w:p>
            <w:pPr>
              <w:jc w:val="left"/>
            </w:pPr>
            <w:r>
              <w:rPr>
                <w:b w:val="false"/>
                <w:bCs w:val="false"/>
                <w:sz w:val="20"/>
                <w:szCs w:val="20"/>
              </w:rPr>
              <w:t xml:space="preserve">33</w:t>
            </w:r>
          </w:p>
        </w:tc>
        <w:tc>
          <w:tcPr>
            <w:tcW w:type="dxa" w:w="1300"/>
            <w:tcMar>
              <w:top w:type="dxa" w:w="60"/>
              <w:left w:type="dxa" w:w="80"/>
              <w:bottom w:type="dxa" w:w="60"/>
              <w:right w:type="dxa" w:w="80"/>
            </w:tcMar>
          </w:tcPr>
          <w:p>
            <w:pPr>
              <w:jc w:val="left"/>
            </w:pPr>
            <w:r>
              <w:rPr>
                <w:b w:val="false"/>
                <w:bCs w:val="false"/>
                <w:sz w:val="20"/>
                <w:szCs w:val="20"/>
              </w:rPr>
              <w:t xml:space="preserve">24.2%</w:t>
            </w:r>
          </w:p>
        </w:tc>
        <w:tc>
          <w:tcPr>
            <w:tcW w:type="dxa" w:w="1600"/>
            <w:tcMar>
              <w:top w:type="dxa" w:w="60"/>
              <w:left w:type="dxa" w:w="80"/>
              <w:bottom w:type="dxa" w:w="60"/>
              <w:right w:type="dxa" w:w="80"/>
            </w:tcMar>
          </w:tcPr>
          <w:p>
            <w:pPr>
              <w:jc w:val="left"/>
            </w:pPr>
            <w:r>
              <w:rPr>
                <w:b w:val="false"/>
                <w:bCs w:val="false"/>
                <w:sz w:val="20"/>
                <w:szCs w:val="20"/>
              </w:rPr>
              <w:t xml:space="preserve">17,454</w:t>
            </w:r>
          </w:p>
        </w:tc>
        <w:tc>
          <w:tcPr>
            <w:tcW w:type="dxa" w:w="1700"/>
            <w:tcMar>
              <w:top w:type="dxa" w:w="60"/>
              <w:left w:type="dxa" w:w="80"/>
              <w:bottom w:type="dxa" w:w="60"/>
              <w:right w:type="dxa" w:w="80"/>
            </w:tcMar>
          </w:tcPr>
          <w:p>
            <w:pPr>
              <w:jc w:val="left"/>
            </w:pPr>
            <w:r>
              <w:rPr>
                <w:b w:val="false"/>
                <w:bCs w:val="false"/>
                <w:sz w:val="20"/>
                <w:szCs w:val="20"/>
              </w:rPr>
              <w:t xml:space="preserve">26.7%</w:t>
            </w:r>
          </w:p>
        </w:tc>
        <w:tc>
          <w:tcPr>
            <w:tcW w:type="dxa" w:w="1400"/>
            <w:tcMar>
              <w:top w:type="dxa" w:w="60"/>
              <w:left w:type="dxa" w:w="80"/>
              <w:bottom w:type="dxa" w:w="60"/>
              <w:right w:type="dxa" w:w="80"/>
            </w:tcMar>
          </w:tcPr>
          <w:p>
            <w:pPr>
              <w:jc w:val="left"/>
            </w:pPr>
            <w:r>
              <w:rPr>
                <w:b w:val="false"/>
                <w:bCs w:val="false"/>
                <w:sz w:val="20"/>
                <w:szCs w:val="20"/>
              </w:rPr>
              <w:t xml:space="preserve">698</w:t>
            </w:r>
          </w:p>
        </w:tc>
      </w:tr>
    </w:tbl>
    <w:p>
      <w:pPr>
        <w:spacing w:after="120"/>
      </w:pPr>
      <w:r>
        <w:t xml:space="preserve"/>
      </w:r>
    </w:p>
    <w:p>
      <w:pPr>
        <w:spacing w:after="120"/>
      </w:pPr>
      <w:r>
        <w:t xml:space="preserve">Card is both the largest revenue channel (40.4%) and the lowest-cancellation channel (15.6%); Wallet rides cancel almost 1.6x as often as Card rides on a small base (33 rides), a pattern worth re-checking once more data accumulates.</w:t>
      </w:r>
    </w:p>
    <w:p>
      <w:pPr>
        <w:pStyle w:val="Heading2"/>
        <w:spacing w:after="100" w:before="220"/>
      </w:pPr>
      <w:r>
        <w:t xml:space="preserve">6.3 High-volume/low-revenue vs. low-volume/high-fare segments</w:t>
      </w:r>
    </w:p>
    <w:p>
      <w:pPr>
        <w:spacing w:after="120"/>
      </w:pPr>
      <w:r>
        <w:t xml:space="preserve">Wapda Town and Model Town combine solid ride volume (18-19 rides) with above-average cancellation (22-26%), while DHA is low-volume (7 rides) but a healthy average fare (586, near the dataset median once cancellations are excluded) is not the standout — Lahore is the closer fit: only 10 rides but the second-highest average fare (754) among all pickup points, i.e. lower volume, higher-value per trip.</w:t>
      </w:r>
    </w:p>
    <w:p>
      <w:pPr>
        <w:spacing w:after="120"/>
      </w:pPr>
      <w:r>
        <w:t xml:space="preserve">No cost data exists for any location, ride, or driver, so none of the above is described as profit or margin — only revenue and completion behavior, per the brief's instruction not to claim profitability without cost data.</w:t>
      </w:r>
    </w:p>
    <w:p>
      <w:pPr>
        <w:pStyle w:val="Heading1"/>
        <w:spacing w:after="150" w:before="300"/>
      </w:pPr>
      <w:r>
        <w:t xml:space="preserve">7. Customer Segmentation</w:t>
      </w:r>
    </w:p>
    <w:p>
      <w:pPr>
        <w:spacing w:after="120"/>
      </w:pPr>
      <w:r>
        <w:rPr>
          <w:i w:val="false"/>
          <w:iCs w:val="false"/>
        </w:rPr>
        <w:t xml:space="preserve">The dataset has no Customer ID, so ride-frequency segmentation (high- vs. low-frequency customers, repeat-customer contribution) cannot be computed — there is no way to know which rides belong to the same rider. This is stated here rather than approximated, because inventing a customer key from location/time patterns would silently fabricate identities that don't exist in the source data.</w:t>
      </w:r>
    </w:p>
    <w:p>
      <w:pPr>
        <w:spacing w:after="120"/>
      </w:pPr>
      <w:r>
        <w:t xml:space="preserve">As the closest available substitute, rides were segmented by fare tier (Low/Mid/High, cut at the 33rd/67th percentile of completed fares: ≈PKR 548 and ≈PKR 822):</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600"/>
        <w:gridCol w:w="1600"/>
        <w:gridCol w:w="1800"/>
        <w:gridCol w:w="1400"/>
      </w:tblGrid>
      <w:tr>
        <w:trPr>
          <w:tblHeader/>
        </w:trPr>
        <w:tc>
          <w:tcPr>
            <w:tcW w:type="dxa" w:w="1600"/>
            <w:shd w:fill="1F4E78" w:val="clear"/>
            <w:tcMar>
              <w:top w:type="dxa" w:w="60"/>
              <w:left w:type="dxa" w:w="80"/>
              <w:bottom w:type="dxa" w:w="60"/>
              <w:right w:type="dxa" w:w="80"/>
            </w:tcMar>
          </w:tcPr>
          <w:p>
            <w:pPr>
              <w:jc w:val="left"/>
            </w:pPr>
            <w:r>
              <w:rPr>
                <w:b/>
                <w:bCs/>
                <w:color w:val="FFFFFF"/>
                <w:sz w:val="20"/>
                <w:szCs w:val="20"/>
              </w:rPr>
              <w:t xml:space="preserve">Fare Tier</w:t>
            </w:r>
          </w:p>
        </w:tc>
        <w:tc>
          <w:tcPr>
            <w:tcW w:type="dxa" w:w="1300"/>
            <w:shd w:fill="1F4E78" w:val="clear"/>
            <w:tcMar>
              <w:top w:type="dxa" w:w="60"/>
              <w:left w:type="dxa" w:w="80"/>
              <w:bottom w:type="dxa" w:w="60"/>
              <w:right w:type="dxa" w:w="80"/>
            </w:tcMar>
          </w:tcPr>
          <w:p>
            <w:pPr>
              <w:jc w:val="left"/>
            </w:pPr>
            <w:r>
              <w:rPr>
                <w:b/>
                <w:bCs/>
                <w:color w:val="FFFFFF"/>
                <w:sz w:val="20"/>
                <w:szCs w:val="20"/>
              </w:rPr>
              <w:t xml:space="preserve">Rides</w:t>
            </w:r>
          </w:p>
        </w:tc>
        <w:tc>
          <w:tcPr>
            <w:tcW w:type="dxa" w:w="1600"/>
            <w:shd w:fill="1F4E78" w:val="clear"/>
            <w:tcMar>
              <w:top w:type="dxa" w:w="60"/>
              <w:left w:type="dxa" w:w="80"/>
              <w:bottom w:type="dxa" w:w="60"/>
              <w:right w:type="dxa" w:w="80"/>
            </w:tcMar>
          </w:tcPr>
          <w:p>
            <w:pPr>
              <w:jc w:val="left"/>
            </w:pPr>
            <w:r>
              <w:rPr>
                <w:b/>
                <w:bCs/>
                <w:color w:val="FFFFFF"/>
                <w:sz w:val="20"/>
                <w:szCs w:val="20"/>
              </w:rPr>
              <w:t xml:space="preserve">% of Rides</w:t>
            </w:r>
          </w:p>
        </w:tc>
        <w:tc>
          <w:tcPr>
            <w:tcW w:type="dxa" w:w="1600"/>
            <w:shd w:fill="1F4E78" w:val="clear"/>
            <w:tcMar>
              <w:top w:type="dxa" w:w="60"/>
              <w:left w:type="dxa" w:w="80"/>
              <w:bottom w:type="dxa" w:w="60"/>
              <w:right w:type="dxa" w:w="80"/>
            </w:tcMar>
          </w:tcPr>
          <w:p>
            <w:pPr>
              <w:jc w:val="left"/>
            </w:pPr>
            <w:r>
              <w:rPr>
                <w:b/>
                <w:bCs/>
                <w:color w:val="FFFFFF"/>
                <w:sz w:val="20"/>
                <w:szCs w:val="20"/>
              </w:rPr>
              <w:t xml:space="preserve">Revenue</w:t>
            </w:r>
          </w:p>
        </w:tc>
        <w:tc>
          <w:tcPr>
            <w:tcW w:type="dxa" w:w="1800"/>
            <w:shd w:fill="1F4E78" w:val="clear"/>
            <w:tcMar>
              <w:top w:type="dxa" w:w="60"/>
              <w:left w:type="dxa" w:w="80"/>
              <w:bottom w:type="dxa" w:w="60"/>
              <w:right w:type="dxa" w:w="80"/>
            </w:tcMar>
          </w:tcPr>
          <w:p>
            <w:pPr>
              <w:jc w:val="left"/>
            </w:pPr>
            <w:r>
              <w:rPr>
                <w:b/>
                <w:bCs/>
                <w:color w:val="FFFFFF"/>
                <w:sz w:val="20"/>
                <w:szCs w:val="20"/>
              </w:rPr>
              <w:t xml:space="preserve">% of Revenue</w:t>
            </w:r>
          </w:p>
        </w:tc>
        <w:tc>
          <w:tcPr>
            <w:tcW w:type="dxa" w:w="1400"/>
            <w:shd w:fill="1F4E78" w:val="clear"/>
            <w:tcMar>
              <w:top w:type="dxa" w:w="60"/>
              <w:left w:type="dxa" w:w="80"/>
              <w:bottom w:type="dxa" w:w="60"/>
              <w:right w:type="dxa" w:w="80"/>
            </w:tcMar>
          </w:tcPr>
          <w:p>
            <w:pPr>
              <w:jc w:val="left"/>
            </w:pPr>
            <w:r>
              <w:rPr>
                <w:b/>
                <w:bCs/>
                <w:color w:val="FFFFFF"/>
                <w:sz w:val="20"/>
                <w:szCs w:val="20"/>
              </w:rPr>
              <w:t xml:space="preserve">Avg Fare</w:t>
            </w:r>
          </w:p>
        </w:tc>
      </w:tr>
      <w:tr>
        <w:tc>
          <w:tcPr>
            <w:tcW w:type="dxa" w:w="1600"/>
            <w:tcMar>
              <w:top w:type="dxa" w:w="60"/>
              <w:left w:type="dxa" w:w="80"/>
              <w:bottom w:type="dxa" w:w="60"/>
              <w:right w:type="dxa" w:w="80"/>
            </w:tcMar>
          </w:tcPr>
          <w:p>
            <w:pPr>
              <w:jc w:val="left"/>
            </w:pPr>
            <w:r>
              <w:rPr>
                <w:b w:val="false"/>
                <w:bCs w:val="false"/>
                <w:sz w:val="20"/>
                <w:szCs w:val="20"/>
              </w:rPr>
              <w:t xml:space="preserve">Low</w:t>
            </w:r>
          </w:p>
        </w:tc>
        <w:tc>
          <w:tcPr>
            <w:tcW w:type="dxa" w:w="1300"/>
            <w:tcMar>
              <w:top w:type="dxa" w:w="60"/>
              <w:left w:type="dxa" w:w="80"/>
              <w:bottom w:type="dxa" w:w="60"/>
              <w:right w:type="dxa" w:w="80"/>
            </w:tcMar>
          </w:tcPr>
          <w:p>
            <w:pPr>
              <w:jc w:val="left"/>
            </w:pPr>
            <w:r>
              <w:rPr>
                <w:b w:val="false"/>
                <w:bCs w:val="false"/>
                <w:sz w:val="20"/>
                <w:szCs w:val="20"/>
              </w:rPr>
              <w:t xml:space="preserve">32</w:t>
            </w:r>
          </w:p>
        </w:tc>
        <w:tc>
          <w:tcPr>
            <w:tcW w:type="dxa" w:w="1600"/>
            <w:tcMar>
              <w:top w:type="dxa" w:w="60"/>
              <w:left w:type="dxa" w:w="80"/>
              <w:bottom w:type="dxa" w:w="60"/>
              <w:right w:type="dxa" w:w="80"/>
            </w:tcMar>
          </w:tcPr>
          <w:p>
            <w:pPr>
              <w:jc w:val="left"/>
            </w:pPr>
            <w:r>
              <w:rPr>
                <w:b w:val="false"/>
                <w:bCs w:val="false"/>
                <w:sz w:val="20"/>
                <w:szCs w:val="20"/>
              </w:rPr>
              <w:t xml:space="preserve">33.3%</w:t>
            </w:r>
          </w:p>
        </w:tc>
        <w:tc>
          <w:tcPr>
            <w:tcW w:type="dxa" w:w="1600"/>
            <w:tcMar>
              <w:top w:type="dxa" w:w="60"/>
              <w:left w:type="dxa" w:w="80"/>
              <w:bottom w:type="dxa" w:w="60"/>
              <w:right w:type="dxa" w:w="80"/>
            </w:tcMar>
          </w:tcPr>
          <w:p>
            <w:pPr>
              <w:jc w:val="left"/>
            </w:pPr>
            <w:r>
              <w:rPr>
                <w:b w:val="false"/>
                <w:bCs w:val="false"/>
                <w:sz w:val="20"/>
                <w:szCs w:val="20"/>
              </w:rPr>
              <w:t xml:space="preserve">11,185</w:t>
            </w:r>
          </w:p>
        </w:tc>
        <w:tc>
          <w:tcPr>
            <w:tcW w:type="dxa" w:w="1800"/>
            <w:tcMar>
              <w:top w:type="dxa" w:w="60"/>
              <w:left w:type="dxa" w:w="80"/>
              <w:bottom w:type="dxa" w:w="60"/>
              <w:right w:type="dxa" w:w="80"/>
            </w:tcMar>
          </w:tcPr>
          <w:p>
            <w:pPr>
              <w:jc w:val="left"/>
            </w:pPr>
            <w:r>
              <w:rPr>
                <w:b w:val="false"/>
                <w:bCs w:val="false"/>
                <w:sz w:val="20"/>
                <w:szCs w:val="20"/>
              </w:rPr>
              <w:t xml:space="preserve">17.1%</w:t>
            </w:r>
          </w:p>
        </w:tc>
        <w:tc>
          <w:tcPr>
            <w:tcW w:type="dxa" w:w="1400"/>
            <w:tcMar>
              <w:top w:type="dxa" w:w="60"/>
              <w:left w:type="dxa" w:w="80"/>
              <w:bottom w:type="dxa" w:w="60"/>
              <w:right w:type="dxa" w:w="80"/>
            </w:tcMar>
          </w:tcPr>
          <w:p>
            <w:pPr>
              <w:jc w:val="left"/>
            </w:pPr>
            <w:r>
              <w:rPr>
                <w:b w:val="false"/>
                <w:bCs w:val="false"/>
                <w:sz w:val="20"/>
                <w:szCs w:val="20"/>
              </w:rPr>
              <w:t xml:space="preserve">350</w:t>
            </w:r>
          </w:p>
        </w:tc>
      </w:tr>
      <w:tr>
        <w:tc>
          <w:tcPr>
            <w:tcW w:type="dxa" w:w="1600"/>
            <w:tcMar>
              <w:top w:type="dxa" w:w="60"/>
              <w:left w:type="dxa" w:w="80"/>
              <w:bottom w:type="dxa" w:w="60"/>
              <w:right w:type="dxa" w:w="80"/>
            </w:tcMar>
          </w:tcPr>
          <w:p>
            <w:pPr>
              <w:jc w:val="left"/>
            </w:pPr>
            <w:r>
              <w:rPr>
                <w:b w:val="false"/>
                <w:bCs w:val="false"/>
                <w:sz w:val="20"/>
                <w:szCs w:val="20"/>
              </w:rPr>
              <w:t xml:space="preserve">Mid</w:t>
            </w:r>
          </w:p>
        </w:tc>
        <w:tc>
          <w:tcPr>
            <w:tcW w:type="dxa" w:w="1300"/>
            <w:tcMar>
              <w:top w:type="dxa" w:w="60"/>
              <w:left w:type="dxa" w:w="80"/>
              <w:bottom w:type="dxa" w:w="60"/>
              <w:right w:type="dxa" w:w="80"/>
            </w:tcMar>
          </w:tcPr>
          <w:p>
            <w:pPr>
              <w:jc w:val="left"/>
            </w:pPr>
            <w:r>
              <w:rPr>
                <w:b w:val="false"/>
                <w:bCs w:val="false"/>
                <w:sz w:val="20"/>
                <w:szCs w:val="20"/>
              </w:rPr>
              <w:t xml:space="preserve">32</w:t>
            </w:r>
          </w:p>
        </w:tc>
        <w:tc>
          <w:tcPr>
            <w:tcW w:type="dxa" w:w="1600"/>
            <w:tcMar>
              <w:top w:type="dxa" w:w="60"/>
              <w:left w:type="dxa" w:w="80"/>
              <w:bottom w:type="dxa" w:w="60"/>
              <w:right w:type="dxa" w:w="80"/>
            </w:tcMar>
          </w:tcPr>
          <w:p>
            <w:pPr>
              <w:jc w:val="left"/>
            </w:pPr>
            <w:r>
              <w:rPr>
                <w:b w:val="false"/>
                <w:bCs w:val="false"/>
                <w:sz w:val="20"/>
                <w:szCs w:val="20"/>
              </w:rPr>
              <w:t xml:space="preserve">33.3%</w:t>
            </w:r>
          </w:p>
        </w:tc>
        <w:tc>
          <w:tcPr>
            <w:tcW w:type="dxa" w:w="1600"/>
            <w:tcMar>
              <w:top w:type="dxa" w:w="60"/>
              <w:left w:type="dxa" w:w="80"/>
              <w:bottom w:type="dxa" w:w="60"/>
              <w:right w:type="dxa" w:w="80"/>
            </w:tcMar>
          </w:tcPr>
          <w:p>
            <w:pPr>
              <w:jc w:val="left"/>
            </w:pPr>
            <w:r>
              <w:rPr>
                <w:b w:val="false"/>
                <w:bCs w:val="false"/>
                <w:sz w:val="20"/>
                <w:szCs w:val="20"/>
              </w:rPr>
              <w:t xml:space="preserve">21,582</w:t>
            </w:r>
          </w:p>
        </w:tc>
        <w:tc>
          <w:tcPr>
            <w:tcW w:type="dxa" w:w="1800"/>
            <w:tcMar>
              <w:top w:type="dxa" w:w="60"/>
              <w:left w:type="dxa" w:w="80"/>
              <w:bottom w:type="dxa" w:w="60"/>
              <w:right w:type="dxa" w:w="80"/>
            </w:tcMar>
          </w:tcPr>
          <w:p>
            <w:pPr>
              <w:jc w:val="left"/>
            </w:pPr>
            <w:r>
              <w:rPr>
                <w:b w:val="false"/>
                <w:bCs w:val="false"/>
                <w:sz w:val="20"/>
                <w:szCs w:val="20"/>
              </w:rPr>
              <w:t xml:space="preserve">33.0%</w:t>
            </w:r>
          </w:p>
        </w:tc>
        <w:tc>
          <w:tcPr>
            <w:tcW w:type="dxa" w:w="1400"/>
            <w:tcMar>
              <w:top w:type="dxa" w:w="60"/>
              <w:left w:type="dxa" w:w="80"/>
              <w:bottom w:type="dxa" w:w="60"/>
              <w:right w:type="dxa" w:w="80"/>
            </w:tcMar>
          </w:tcPr>
          <w:p>
            <w:pPr>
              <w:jc w:val="left"/>
            </w:pPr>
            <w:r>
              <w:rPr>
                <w:b w:val="false"/>
                <w:bCs w:val="false"/>
                <w:sz w:val="20"/>
                <w:szCs w:val="20"/>
              </w:rPr>
              <w:t xml:space="preserve">674</w:t>
            </w:r>
          </w:p>
        </w:tc>
      </w:tr>
      <w:tr>
        <w:tc>
          <w:tcPr>
            <w:tcW w:type="dxa" w:w="1600"/>
            <w:tcMar>
              <w:top w:type="dxa" w:w="60"/>
              <w:left w:type="dxa" w:w="80"/>
              <w:bottom w:type="dxa" w:w="60"/>
              <w:right w:type="dxa" w:w="80"/>
            </w:tcMar>
          </w:tcPr>
          <w:p>
            <w:pPr>
              <w:jc w:val="left"/>
            </w:pPr>
            <w:r>
              <w:rPr>
                <w:b w:val="false"/>
                <w:bCs w:val="false"/>
                <w:sz w:val="20"/>
                <w:szCs w:val="20"/>
              </w:rPr>
              <w:t xml:space="preserve">High</w:t>
            </w:r>
          </w:p>
        </w:tc>
        <w:tc>
          <w:tcPr>
            <w:tcW w:type="dxa" w:w="1300"/>
            <w:tcMar>
              <w:top w:type="dxa" w:w="60"/>
              <w:left w:type="dxa" w:w="80"/>
              <w:bottom w:type="dxa" w:w="60"/>
              <w:right w:type="dxa" w:w="80"/>
            </w:tcMar>
          </w:tcPr>
          <w:p>
            <w:pPr>
              <w:jc w:val="left"/>
            </w:pPr>
            <w:r>
              <w:rPr>
                <w:b w:val="false"/>
                <w:bCs w:val="false"/>
                <w:sz w:val="20"/>
                <w:szCs w:val="20"/>
              </w:rPr>
              <w:t xml:space="preserve">32</w:t>
            </w:r>
          </w:p>
        </w:tc>
        <w:tc>
          <w:tcPr>
            <w:tcW w:type="dxa" w:w="1600"/>
            <w:tcMar>
              <w:top w:type="dxa" w:w="60"/>
              <w:left w:type="dxa" w:w="80"/>
              <w:bottom w:type="dxa" w:w="60"/>
              <w:right w:type="dxa" w:w="80"/>
            </w:tcMar>
          </w:tcPr>
          <w:p>
            <w:pPr>
              <w:jc w:val="left"/>
            </w:pPr>
            <w:r>
              <w:rPr>
                <w:b w:val="false"/>
                <w:bCs w:val="false"/>
                <w:sz w:val="20"/>
                <w:szCs w:val="20"/>
              </w:rPr>
              <w:t xml:space="preserve">33.3%</w:t>
            </w:r>
          </w:p>
        </w:tc>
        <w:tc>
          <w:tcPr>
            <w:tcW w:type="dxa" w:w="1600"/>
            <w:tcMar>
              <w:top w:type="dxa" w:w="60"/>
              <w:left w:type="dxa" w:w="80"/>
              <w:bottom w:type="dxa" w:w="60"/>
              <w:right w:type="dxa" w:w="80"/>
            </w:tcMar>
          </w:tcPr>
          <w:p>
            <w:pPr>
              <w:jc w:val="left"/>
            </w:pPr>
            <w:r>
              <w:rPr>
                <w:b w:val="false"/>
                <w:bCs w:val="false"/>
                <w:sz w:val="20"/>
                <w:szCs w:val="20"/>
              </w:rPr>
              <w:t xml:space="preserve">32,660</w:t>
            </w:r>
          </w:p>
        </w:tc>
        <w:tc>
          <w:tcPr>
            <w:tcW w:type="dxa" w:w="1800"/>
            <w:tcMar>
              <w:top w:type="dxa" w:w="60"/>
              <w:left w:type="dxa" w:w="80"/>
              <w:bottom w:type="dxa" w:w="60"/>
              <w:right w:type="dxa" w:w="80"/>
            </w:tcMar>
          </w:tcPr>
          <w:p>
            <w:pPr>
              <w:jc w:val="left"/>
            </w:pPr>
            <w:r>
              <w:rPr>
                <w:b w:val="false"/>
                <w:bCs w:val="false"/>
                <w:sz w:val="20"/>
                <w:szCs w:val="20"/>
              </w:rPr>
              <w:t xml:space="preserve">49.9%</w:t>
            </w:r>
          </w:p>
        </w:tc>
        <w:tc>
          <w:tcPr>
            <w:tcW w:type="dxa" w:w="1400"/>
            <w:tcMar>
              <w:top w:type="dxa" w:w="60"/>
              <w:left w:type="dxa" w:w="80"/>
              <w:bottom w:type="dxa" w:w="60"/>
              <w:right w:type="dxa" w:w="80"/>
            </w:tcMar>
          </w:tcPr>
          <w:p>
            <w:pPr>
              <w:jc w:val="left"/>
            </w:pPr>
            <w:r>
              <w:rPr>
                <w:b w:val="false"/>
                <w:bCs w:val="false"/>
                <w:sz w:val="20"/>
                <w:szCs w:val="20"/>
              </w:rPr>
              <w:t xml:space="preserve">1,021</w:t>
            </w:r>
          </w:p>
        </w:tc>
      </w:tr>
    </w:tbl>
    <w:p>
      <w:pPr>
        <w:spacing w:after="120"/>
      </w:pPr>
      <w:r>
        <w:t xml:space="preserve"/>
      </w:r>
    </w:p>
    <w:p>
      <w:pPr>
        <w:spacing w:after="120"/>
      </w:pPr>
      <w:r>
        <w:t xml:space="preserve">An even split by ride count (32/32/32 by design) still shows the top fare tier generating half of all completed-ride revenue (49.9%) from a third of the rides — the clearest 'high-value segment' this dataset can support. To recommend, this is business intelligence about trip value, not about customer identity, and should be labeled that way in the dashboard.</w:t>
      </w:r>
    </w:p>
    <w:p>
      <w:pPr>
        <w:pStyle w:val="Heading1"/>
        <w:spacing w:after="150" w:before="300"/>
      </w:pPr>
      <w:r>
        <w:t xml:space="preserve">8. Driver Performance Intelligence — Not Available</w:t>
      </w:r>
    </w:p>
    <w:p>
      <w:pPr>
        <w:spacing w:after="120"/>
      </w:pPr>
      <w:r>
        <w:t xml:space="preserve">The brief asks for a driver view (rides, completed rides, cancellations, revenue, rating, completion rate per driver) with a ranking metric. This cannot be built: cleaned_rides.csv has no Driver ID or driver name field, so there is no way to group rides by driver.</w:t>
      </w:r>
    </w:p>
    <w:p>
      <w:pPr>
        <w:spacing w:after="120"/>
      </w:pPr>
      <w:r>
        <w:rPr>
          <w:b/>
          <w:bCs/>
        </w:rPr>
        <w:t xml:space="preserve">What would unlock this: </w:t>
      </w:r>
      <w:r>
        <w:t xml:space="preserve">a Driver ID (or name) column added to the ride log. Once present, the same DAX pattern used for Location Revenue Rank (Section 5) — CALCULATE + RANKX grouped by driver — would produce the ranking, benchmark-comparison, and 'high volume + high cancellation' outlier view the brief asks for, with no other changes to the model.</w:t>
      </w:r>
    </w:p>
    <w:p>
      <w:pPr>
        <w:spacing w:after="120"/>
      </w:pPr>
      <w:r>
        <w:t xml:space="preserve">This limitation is called out explicitly rather than filled with placeholder or simulated driver names.</w:t>
      </w:r>
    </w:p>
    <w:p>
      <w:pPr>
        <w:pStyle w:val="Heading1"/>
        <w:spacing w:after="150" w:before="300"/>
      </w:pPr>
      <w:r>
        <w:t xml:space="preserve">9. Cancellation &amp; Operational Analysis</w:t>
      </w:r>
    </w:p>
    <w:p>
      <w:pPr>
        <w:spacing w:after="120"/>
      </w:pPr>
      <w:r>
        <w:t xml:space="preserve">The dataset has a Date but no time-of-day field, so cancellation is analyzed by weekday (the finest time grain available) rather than by hour.</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1900"/>
      </w:tblGrid>
      <w:tr>
        <w:trPr>
          <w:tblHeader/>
        </w:trPr>
        <w:tc>
          <w:tcPr>
            <w:tcW w:type="dxa" w:w="1800"/>
            <w:shd w:fill="1F4E78" w:val="clear"/>
            <w:tcMar>
              <w:top w:type="dxa" w:w="60"/>
              <w:left w:type="dxa" w:w="80"/>
              <w:bottom w:type="dxa" w:w="60"/>
              <w:right w:type="dxa" w:w="80"/>
            </w:tcMar>
          </w:tcPr>
          <w:p>
            <w:pPr>
              <w:jc w:val="left"/>
            </w:pPr>
            <w:r>
              <w:rPr>
                <w:b/>
                <w:bCs/>
                <w:color w:val="FFFFFF"/>
                <w:sz w:val="20"/>
                <w:szCs w:val="20"/>
              </w:rPr>
              <w:t xml:space="preserve">Weekday</w:t>
            </w:r>
          </w:p>
        </w:tc>
        <w:tc>
          <w:tcPr>
            <w:tcW w:type="dxa" w:w="1600"/>
            <w:shd w:fill="1F4E78" w:val="clear"/>
            <w:tcMar>
              <w:top w:type="dxa" w:w="60"/>
              <w:left w:type="dxa" w:w="80"/>
              <w:bottom w:type="dxa" w:w="60"/>
              <w:right w:type="dxa" w:w="80"/>
            </w:tcMar>
          </w:tcPr>
          <w:p>
            <w:pPr>
              <w:jc w:val="left"/>
            </w:pPr>
            <w:r>
              <w:rPr>
                <w:b/>
                <w:bCs/>
                <w:color w:val="FFFFFF"/>
                <w:sz w:val="20"/>
                <w:szCs w:val="20"/>
              </w:rPr>
              <w:t xml:space="preserve">Rides</w:t>
            </w:r>
          </w:p>
        </w:tc>
        <w:tc>
          <w:tcPr>
            <w:tcW w:type="dxa" w:w="1600"/>
            <w:shd w:fill="1F4E78" w:val="clear"/>
            <w:tcMar>
              <w:top w:type="dxa" w:w="60"/>
              <w:left w:type="dxa" w:w="80"/>
              <w:bottom w:type="dxa" w:w="60"/>
              <w:right w:type="dxa" w:w="80"/>
            </w:tcMar>
          </w:tcPr>
          <w:p>
            <w:pPr>
              <w:jc w:val="left"/>
            </w:pPr>
            <w:r>
              <w:rPr>
                <w:b/>
                <w:bCs/>
                <w:color w:val="FFFFFF"/>
                <w:sz w:val="20"/>
                <w:szCs w:val="20"/>
              </w:rPr>
              <w:t xml:space="preserve">Cancelled</w:t>
            </w:r>
          </w:p>
        </w:tc>
        <w:tc>
          <w:tcPr>
            <w:tcW w:type="dxa" w:w="1600"/>
            <w:shd w:fill="1F4E78" w:val="clear"/>
            <w:tcMar>
              <w:top w:type="dxa" w:w="60"/>
              <w:left w:type="dxa" w:w="80"/>
              <w:bottom w:type="dxa" w:w="60"/>
              <w:right w:type="dxa" w:w="80"/>
            </w:tcMar>
          </w:tcPr>
          <w:p>
            <w:pPr>
              <w:jc w:val="left"/>
            </w:pPr>
            <w:r>
              <w:rPr>
                <w:b/>
                <w:bCs/>
                <w:color w:val="FFFFFF"/>
                <w:sz w:val="20"/>
                <w:szCs w:val="20"/>
              </w:rPr>
              <w:t xml:space="preserve">Cancel %</w:t>
            </w:r>
          </w:p>
        </w:tc>
        <w:tc>
          <w:tcPr>
            <w:tcW w:type="dxa" w:w="1900"/>
            <w:shd w:fill="1F4E78" w:val="clear"/>
            <w:tcMar>
              <w:top w:type="dxa" w:w="60"/>
              <w:left w:type="dxa" w:w="80"/>
              <w:bottom w:type="dxa" w:w="60"/>
              <w:right w:type="dxa" w:w="80"/>
            </w:tcMar>
          </w:tcPr>
          <w:p>
            <w:pPr>
              <w:jc w:val="left"/>
            </w:pPr>
            <w:r>
              <w:rPr>
                <w:b/>
                <w:bCs/>
                <w:color w:val="FFFFFF"/>
                <w:sz w:val="20"/>
                <w:szCs w:val="20"/>
              </w:rPr>
              <w:t xml:space="preserve">Revenue</w:t>
            </w:r>
          </w:p>
        </w:tc>
      </w:tr>
      <w:tr>
        <w:tc>
          <w:tcPr>
            <w:tcW w:type="dxa" w:w="1800"/>
            <w:tcMar>
              <w:top w:type="dxa" w:w="60"/>
              <w:left w:type="dxa" w:w="80"/>
              <w:bottom w:type="dxa" w:w="60"/>
              <w:right w:type="dxa" w:w="80"/>
            </w:tcMar>
          </w:tcPr>
          <w:p>
            <w:pPr>
              <w:jc w:val="left"/>
            </w:pPr>
            <w:r>
              <w:rPr>
                <w:b w:val="false"/>
                <w:bCs w:val="false"/>
                <w:sz w:val="20"/>
                <w:szCs w:val="20"/>
              </w:rPr>
              <w:t xml:space="preserve">Monday</w:t>
            </w:r>
          </w:p>
        </w:tc>
        <w:tc>
          <w:tcPr>
            <w:tcW w:type="dxa" w:w="1600"/>
            <w:tcMar>
              <w:top w:type="dxa" w:w="60"/>
              <w:left w:type="dxa" w:w="80"/>
              <w:bottom w:type="dxa" w:w="60"/>
              <w:right w:type="dxa" w:w="80"/>
            </w:tcMar>
          </w:tcPr>
          <w:p>
            <w:pPr>
              <w:jc w:val="left"/>
            </w:pPr>
            <w:r>
              <w:rPr>
                <w:b w:val="false"/>
                <w:bCs w:val="false"/>
                <w:sz w:val="20"/>
                <w:szCs w:val="20"/>
              </w:rPr>
              <w:t xml:space="preserve">20</w:t>
            </w:r>
          </w:p>
        </w:tc>
        <w:tc>
          <w:tcPr>
            <w:tcW w:type="dxa" w:w="1600"/>
            <w:tcMar>
              <w:top w:type="dxa" w:w="60"/>
              <w:left w:type="dxa" w:w="80"/>
              <w:bottom w:type="dxa" w:w="60"/>
              <w:right w:type="dxa" w:w="80"/>
            </w:tcMar>
          </w:tcPr>
          <w:p>
            <w:pPr>
              <w:jc w:val="left"/>
            </w:pPr>
            <w:r>
              <w:rPr>
                <w:b w:val="false"/>
                <w:bCs w:val="false"/>
                <w:sz w:val="20"/>
                <w:szCs w:val="20"/>
              </w:rPr>
              <w:t xml:space="preserve">4</w:t>
            </w:r>
          </w:p>
        </w:tc>
        <w:tc>
          <w:tcPr>
            <w:tcW w:type="dxa" w:w="1600"/>
            <w:tcMar>
              <w:top w:type="dxa" w:w="60"/>
              <w:left w:type="dxa" w:w="80"/>
              <w:bottom w:type="dxa" w:w="60"/>
              <w:right w:type="dxa" w:w="80"/>
            </w:tcMar>
          </w:tcPr>
          <w:p>
            <w:pPr>
              <w:jc w:val="left"/>
            </w:pPr>
            <w:r>
              <w:rPr>
                <w:b w:val="false"/>
                <w:bCs w:val="false"/>
                <w:sz w:val="20"/>
                <w:szCs w:val="20"/>
              </w:rPr>
              <w:t xml:space="preserve">20.0%</w:t>
            </w:r>
          </w:p>
        </w:tc>
        <w:tc>
          <w:tcPr>
            <w:tcW w:type="dxa" w:w="1900"/>
            <w:tcMar>
              <w:top w:type="dxa" w:w="60"/>
              <w:left w:type="dxa" w:w="80"/>
              <w:bottom w:type="dxa" w:w="60"/>
              <w:right w:type="dxa" w:w="80"/>
            </w:tcMar>
          </w:tcPr>
          <w:p>
            <w:pPr>
              <w:jc w:val="left"/>
            </w:pPr>
            <w:r>
              <w:rPr>
                <w:b w:val="false"/>
                <w:bCs w:val="false"/>
                <w:sz w:val="20"/>
                <w:szCs w:val="20"/>
              </w:rPr>
              <w:t xml:space="preserve">10,323</w:t>
            </w:r>
          </w:p>
        </w:tc>
      </w:tr>
      <w:tr>
        <w:tc>
          <w:tcPr>
            <w:tcW w:type="dxa" w:w="1800"/>
            <w:tcMar>
              <w:top w:type="dxa" w:w="60"/>
              <w:left w:type="dxa" w:w="80"/>
              <w:bottom w:type="dxa" w:w="60"/>
              <w:right w:type="dxa" w:w="80"/>
            </w:tcMar>
          </w:tcPr>
          <w:p>
            <w:pPr>
              <w:jc w:val="left"/>
            </w:pPr>
            <w:r>
              <w:rPr>
                <w:b w:val="false"/>
                <w:bCs w:val="false"/>
                <w:sz w:val="20"/>
                <w:szCs w:val="20"/>
              </w:rPr>
              <w:t xml:space="preserve">Tuesday</w:t>
            </w:r>
          </w:p>
        </w:tc>
        <w:tc>
          <w:tcPr>
            <w:tcW w:type="dxa" w:w="1600"/>
            <w:tcMar>
              <w:top w:type="dxa" w:w="60"/>
              <w:left w:type="dxa" w:w="80"/>
              <w:bottom w:type="dxa" w:w="60"/>
              <w:right w:type="dxa" w:w="80"/>
            </w:tcMar>
          </w:tcPr>
          <w:p>
            <w:pPr>
              <w:jc w:val="left"/>
            </w:pPr>
            <w:r>
              <w:rPr>
                <w:b w:val="false"/>
                <w:bCs w:val="false"/>
                <w:sz w:val="20"/>
                <w:szCs w:val="20"/>
              </w:rPr>
              <w:t xml:space="preserve">13</w:t>
            </w:r>
          </w:p>
        </w:tc>
        <w:tc>
          <w:tcPr>
            <w:tcW w:type="dxa" w:w="1600"/>
            <w:tcMar>
              <w:top w:type="dxa" w:w="60"/>
              <w:left w:type="dxa" w:w="80"/>
              <w:bottom w:type="dxa" w:w="60"/>
              <w:right w:type="dxa" w:w="80"/>
            </w:tcMar>
          </w:tcPr>
          <w:p>
            <w:pPr>
              <w:jc w:val="left"/>
            </w:pPr>
            <w:r>
              <w:rPr>
                <w:b w:val="false"/>
                <w:bCs w:val="false"/>
                <w:sz w:val="20"/>
                <w:szCs w:val="20"/>
              </w:rPr>
              <w:t xml:space="preserve">1</w:t>
            </w:r>
          </w:p>
        </w:tc>
        <w:tc>
          <w:tcPr>
            <w:tcW w:type="dxa" w:w="1600"/>
            <w:tcMar>
              <w:top w:type="dxa" w:w="60"/>
              <w:left w:type="dxa" w:w="80"/>
              <w:bottom w:type="dxa" w:w="60"/>
              <w:right w:type="dxa" w:w="80"/>
            </w:tcMar>
          </w:tcPr>
          <w:p>
            <w:pPr>
              <w:jc w:val="left"/>
            </w:pPr>
            <w:r>
              <w:rPr>
                <w:b w:val="false"/>
                <w:bCs w:val="false"/>
                <w:sz w:val="20"/>
                <w:szCs w:val="20"/>
              </w:rPr>
              <w:t xml:space="preserve">7.7%</w:t>
            </w:r>
          </w:p>
        </w:tc>
        <w:tc>
          <w:tcPr>
            <w:tcW w:type="dxa" w:w="1900"/>
            <w:tcMar>
              <w:top w:type="dxa" w:w="60"/>
              <w:left w:type="dxa" w:w="80"/>
              <w:bottom w:type="dxa" w:w="60"/>
              <w:right w:type="dxa" w:w="80"/>
            </w:tcMar>
          </w:tcPr>
          <w:p>
            <w:pPr>
              <w:jc w:val="left"/>
            </w:pPr>
            <w:r>
              <w:rPr>
                <w:b w:val="false"/>
                <w:bCs w:val="false"/>
                <w:sz w:val="20"/>
                <w:szCs w:val="20"/>
              </w:rPr>
              <w:t xml:space="preserve">7,546</w:t>
            </w:r>
          </w:p>
        </w:tc>
      </w:tr>
      <w:tr>
        <w:tc>
          <w:tcPr>
            <w:tcW w:type="dxa" w:w="1800"/>
            <w:tcMar>
              <w:top w:type="dxa" w:w="60"/>
              <w:left w:type="dxa" w:w="80"/>
              <w:bottom w:type="dxa" w:w="60"/>
              <w:right w:type="dxa" w:w="80"/>
            </w:tcMar>
          </w:tcPr>
          <w:p>
            <w:pPr>
              <w:jc w:val="left"/>
            </w:pPr>
            <w:r>
              <w:rPr>
                <w:b w:val="false"/>
                <w:bCs w:val="false"/>
                <w:sz w:val="20"/>
                <w:szCs w:val="20"/>
              </w:rPr>
              <w:t xml:space="preserve">Wednesday</w:t>
            </w:r>
          </w:p>
        </w:tc>
        <w:tc>
          <w:tcPr>
            <w:tcW w:type="dxa" w:w="1600"/>
            <w:tcMar>
              <w:top w:type="dxa" w:w="60"/>
              <w:left w:type="dxa" w:w="80"/>
              <w:bottom w:type="dxa" w:w="60"/>
              <w:right w:type="dxa" w:w="80"/>
            </w:tcMar>
          </w:tcPr>
          <w:p>
            <w:pPr>
              <w:jc w:val="left"/>
            </w:pPr>
            <w:r>
              <w:rPr>
                <w:b w:val="false"/>
                <w:bCs w:val="false"/>
                <w:sz w:val="20"/>
                <w:szCs w:val="20"/>
              </w:rPr>
              <w:t xml:space="preserve">18</w:t>
            </w:r>
          </w:p>
        </w:tc>
        <w:tc>
          <w:tcPr>
            <w:tcW w:type="dxa" w:w="1600"/>
            <w:tcMar>
              <w:top w:type="dxa" w:w="60"/>
              <w:left w:type="dxa" w:w="80"/>
              <w:bottom w:type="dxa" w:w="60"/>
              <w:right w:type="dxa" w:w="80"/>
            </w:tcMar>
          </w:tcPr>
          <w:p>
            <w:pPr>
              <w:jc w:val="left"/>
            </w:pPr>
            <w:r>
              <w:rPr>
                <w:b w:val="false"/>
                <w:bCs w:val="false"/>
                <w:sz w:val="20"/>
                <w:szCs w:val="20"/>
              </w:rPr>
              <w:t xml:space="preserve">1</w:t>
            </w:r>
          </w:p>
        </w:tc>
        <w:tc>
          <w:tcPr>
            <w:tcW w:type="dxa" w:w="1600"/>
            <w:tcMar>
              <w:top w:type="dxa" w:w="60"/>
              <w:left w:type="dxa" w:w="80"/>
              <w:bottom w:type="dxa" w:w="60"/>
              <w:right w:type="dxa" w:w="80"/>
            </w:tcMar>
          </w:tcPr>
          <w:p>
            <w:pPr>
              <w:jc w:val="left"/>
            </w:pPr>
            <w:r>
              <w:rPr>
                <w:b w:val="false"/>
                <w:bCs w:val="false"/>
                <w:sz w:val="20"/>
                <w:szCs w:val="20"/>
              </w:rPr>
              <w:t xml:space="preserve">5.6%</w:t>
            </w:r>
          </w:p>
        </w:tc>
        <w:tc>
          <w:tcPr>
            <w:tcW w:type="dxa" w:w="1900"/>
            <w:tcMar>
              <w:top w:type="dxa" w:w="60"/>
              <w:left w:type="dxa" w:w="80"/>
              <w:bottom w:type="dxa" w:w="60"/>
              <w:right w:type="dxa" w:w="80"/>
            </w:tcMar>
          </w:tcPr>
          <w:p>
            <w:pPr>
              <w:jc w:val="left"/>
            </w:pPr>
            <w:r>
              <w:rPr>
                <w:b w:val="false"/>
                <w:bCs w:val="false"/>
                <w:sz w:val="20"/>
                <w:szCs w:val="20"/>
              </w:rPr>
              <w:t xml:space="preserve">11,667</w:t>
            </w:r>
          </w:p>
        </w:tc>
      </w:tr>
      <w:tr>
        <w:tc>
          <w:tcPr>
            <w:tcW w:type="dxa" w:w="1800"/>
            <w:tcMar>
              <w:top w:type="dxa" w:w="60"/>
              <w:left w:type="dxa" w:w="80"/>
              <w:bottom w:type="dxa" w:w="60"/>
              <w:right w:type="dxa" w:w="80"/>
            </w:tcMar>
          </w:tcPr>
          <w:p>
            <w:pPr>
              <w:jc w:val="left"/>
            </w:pPr>
            <w:r>
              <w:rPr>
                <w:b w:val="false"/>
                <w:bCs w:val="false"/>
                <w:sz w:val="20"/>
                <w:szCs w:val="20"/>
              </w:rPr>
              <w:t xml:space="preserve">Thursday</w:t>
            </w:r>
          </w:p>
        </w:tc>
        <w:tc>
          <w:tcPr>
            <w:tcW w:type="dxa" w:w="1600"/>
            <w:tcMar>
              <w:top w:type="dxa" w:w="60"/>
              <w:left w:type="dxa" w:w="80"/>
              <w:bottom w:type="dxa" w:w="60"/>
              <w:right w:type="dxa" w:w="80"/>
            </w:tcMar>
          </w:tcPr>
          <w:p>
            <w:pPr>
              <w:jc w:val="left"/>
            </w:pPr>
            <w:r>
              <w:rPr>
                <w:b w:val="false"/>
                <w:bCs w:val="false"/>
                <w:sz w:val="20"/>
                <w:szCs w:val="20"/>
              </w:rPr>
              <w:t xml:space="preserve">9</w:t>
            </w:r>
          </w:p>
        </w:tc>
        <w:tc>
          <w:tcPr>
            <w:tcW w:type="dxa" w:w="1600"/>
            <w:tcMar>
              <w:top w:type="dxa" w:w="60"/>
              <w:left w:type="dxa" w:w="80"/>
              <w:bottom w:type="dxa" w:w="60"/>
              <w:right w:type="dxa" w:w="80"/>
            </w:tcMar>
          </w:tcPr>
          <w:p>
            <w:pPr>
              <w:jc w:val="left"/>
            </w:pPr>
            <w:r>
              <w:rPr>
                <w:b w:val="false"/>
                <w:bCs w:val="false"/>
                <w:sz w:val="20"/>
                <w:szCs w:val="20"/>
              </w:rPr>
              <w:t xml:space="preserve">0</w:t>
            </w:r>
          </w:p>
        </w:tc>
        <w:tc>
          <w:tcPr>
            <w:tcW w:type="dxa" w:w="1600"/>
            <w:tcMar>
              <w:top w:type="dxa" w:w="60"/>
              <w:left w:type="dxa" w:w="80"/>
              <w:bottom w:type="dxa" w:w="60"/>
              <w:right w:type="dxa" w:w="80"/>
            </w:tcMar>
          </w:tcPr>
          <w:p>
            <w:pPr>
              <w:jc w:val="left"/>
            </w:pPr>
            <w:r>
              <w:rPr>
                <w:b w:val="false"/>
                <w:bCs w:val="false"/>
                <w:sz w:val="20"/>
                <w:szCs w:val="20"/>
              </w:rPr>
              <w:t xml:space="preserve">0.0%</w:t>
            </w:r>
          </w:p>
        </w:tc>
        <w:tc>
          <w:tcPr>
            <w:tcW w:type="dxa" w:w="1900"/>
            <w:tcMar>
              <w:top w:type="dxa" w:w="60"/>
              <w:left w:type="dxa" w:w="80"/>
              <w:bottom w:type="dxa" w:w="60"/>
              <w:right w:type="dxa" w:w="80"/>
            </w:tcMar>
          </w:tcPr>
          <w:p>
            <w:pPr>
              <w:jc w:val="left"/>
            </w:pPr>
            <w:r>
              <w:rPr>
                <w:b w:val="false"/>
                <w:bCs w:val="false"/>
                <w:sz w:val="20"/>
                <w:szCs w:val="20"/>
              </w:rPr>
              <w:t xml:space="preserve">5,483</w:t>
            </w:r>
          </w:p>
        </w:tc>
      </w:tr>
      <w:tr>
        <w:tc>
          <w:tcPr>
            <w:tcW w:type="dxa" w:w="1800"/>
            <w:tcMar>
              <w:top w:type="dxa" w:w="60"/>
              <w:left w:type="dxa" w:w="80"/>
              <w:bottom w:type="dxa" w:w="60"/>
              <w:right w:type="dxa" w:w="80"/>
            </w:tcMar>
          </w:tcPr>
          <w:p>
            <w:pPr>
              <w:jc w:val="left"/>
            </w:pPr>
            <w:r>
              <w:rPr>
                <w:b w:val="false"/>
                <w:bCs w:val="false"/>
                <w:sz w:val="20"/>
                <w:szCs w:val="20"/>
              </w:rPr>
              <w:t xml:space="preserve">Friday</w:t>
            </w:r>
          </w:p>
        </w:tc>
        <w:tc>
          <w:tcPr>
            <w:tcW w:type="dxa" w:w="1600"/>
            <w:tcMar>
              <w:top w:type="dxa" w:w="60"/>
              <w:left w:type="dxa" w:w="80"/>
              <w:bottom w:type="dxa" w:w="60"/>
              <w:right w:type="dxa" w:w="80"/>
            </w:tcMar>
          </w:tcPr>
          <w:p>
            <w:pPr>
              <w:jc w:val="left"/>
            </w:pPr>
            <w:r>
              <w:rPr>
                <w:b w:val="false"/>
                <w:bCs w:val="false"/>
                <w:sz w:val="20"/>
                <w:szCs w:val="20"/>
              </w:rPr>
              <w:t xml:space="preserve">14</w:t>
            </w:r>
          </w:p>
        </w:tc>
        <w:tc>
          <w:tcPr>
            <w:tcW w:type="dxa" w:w="1600"/>
            <w:tcMar>
              <w:top w:type="dxa" w:w="60"/>
              <w:left w:type="dxa" w:w="80"/>
              <w:bottom w:type="dxa" w:w="60"/>
              <w:right w:type="dxa" w:w="80"/>
            </w:tcMar>
          </w:tcPr>
          <w:p>
            <w:pPr>
              <w:jc w:val="left"/>
            </w:pPr>
            <w:r>
              <w:rPr>
                <w:b w:val="false"/>
                <w:bCs w:val="false"/>
                <w:sz w:val="20"/>
                <w:szCs w:val="20"/>
              </w:rPr>
              <w:t xml:space="preserve">3</w:t>
            </w:r>
          </w:p>
        </w:tc>
        <w:tc>
          <w:tcPr>
            <w:tcW w:type="dxa" w:w="1600"/>
            <w:tcMar>
              <w:top w:type="dxa" w:w="60"/>
              <w:left w:type="dxa" w:w="80"/>
              <w:bottom w:type="dxa" w:w="60"/>
              <w:right w:type="dxa" w:w="80"/>
            </w:tcMar>
          </w:tcPr>
          <w:p>
            <w:pPr>
              <w:jc w:val="left"/>
            </w:pPr>
            <w:r>
              <w:rPr>
                <w:b w:val="false"/>
                <w:bCs w:val="false"/>
                <w:sz w:val="20"/>
                <w:szCs w:val="20"/>
              </w:rPr>
              <w:t xml:space="preserve">21.4%</w:t>
            </w:r>
          </w:p>
        </w:tc>
        <w:tc>
          <w:tcPr>
            <w:tcW w:type="dxa" w:w="1900"/>
            <w:tcMar>
              <w:top w:type="dxa" w:w="60"/>
              <w:left w:type="dxa" w:w="80"/>
              <w:bottom w:type="dxa" w:w="60"/>
              <w:right w:type="dxa" w:w="80"/>
            </w:tcMar>
          </w:tcPr>
          <w:p>
            <w:pPr>
              <w:jc w:val="left"/>
            </w:pPr>
            <w:r>
              <w:rPr>
                <w:b w:val="false"/>
                <w:bCs w:val="false"/>
                <w:sz w:val="20"/>
                <w:szCs w:val="20"/>
              </w:rPr>
              <w:t xml:space="preserve">9,176</w:t>
            </w:r>
          </w:p>
        </w:tc>
      </w:tr>
      <w:tr>
        <w:tc>
          <w:tcPr>
            <w:tcW w:type="dxa" w:w="1800"/>
            <w:tcMar>
              <w:top w:type="dxa" w:w="60"/>
              <w:left w:type="dxa" w:w="80"/>
              <w:bottom w:type="dxa" w:w="60"/>
              <w:right w:type="dxa" w:w="80"/>
            </w:tcMar>
          </w:tcPr>
          <w:p>
            <w:pPr>
              <w:jc w:val="left"/>
            </w:pPr>
            <w:r>
              <w:rPr>
                <w:b w:val="false"/>
                <w:bCs w:val="false"/>
                <w:sz w:val="20"/>
                <w:szCs w:val="20"/>
              </w:rPr>
              <w:t xml:space="preserve">Saturday</w:t>
            </w:r>
          </w:p>
        </w:tc>
        <w:tc>
          <w:tcPr>
            <w:tcW w:type="dxa" w:w="1600"/>
            <w:tcMar>
              <w:top w:type="dxa" w:w="60"/>
              <w:left w:type="dxa" w:w="80"/>
              <w:bottom w:type="dxa" w:w="60"/>
              <w:right w:type="dxa" w:w="80"/>
            </w:tcMar>
          </w:tcPr>
          <w:p>
            <w:pPr>
              <w:jc w:val="left"/>
            </w:pPr>
            <w:r>
              <w:rPr>
                <w:b w:val="false"/>
                <w:bCs w:val="false"/>
                <w:sz w:val="20"/>
                <w:szCs w:val="20"/>
              </w:rPr>
              <w:t xml:space="preserve">23</w:t>
            </w:r>
          </w:p>
        </w:tc>
        <w:tc>
          <w:tcPr>
            <w:tcW w:type="dxa" w:w="1600"/>
            <w:tcMar>
              <w:top w:type="dxa" w:w="60"/>
              <w:left w:type="dxa" w:w="80"/>
              <w:bottom w:type="dxa" w:w="60"/>
              <w:right w:type="dxa" w:w="80"/>
            </w:tcMar>
          </w:tcPr>
          <w:p>
            <w:pPr>
              <w:jc w:val="left"/>
            </w:pPr>
            <w:r>
              <w:rPr>
                <w:b w:val="false"/>
                <w:bCs w:val="false"/>
                <w:sz w:val="20"/>
                <w:szCs w:val="20"/>
              </w:rPr>
              <w:t xml:space="preserve">9</w:t>
            </w:r>
          </w:p>
        </w:tc>
        <w:tc>
          <w:tcPr>
            <w:tcW w:type="dxa" w:w="1600"/>
            <w:tcMar>
              <w:top w:type="dxa" w:w="60"/>
              <w:left w:type="dxa" w:w="80"/>
              <w:bottom w:type="dxa" w:w="60"/>
              <w:right w:type="dxa" w:w="80"/>
            </w:tcMar>
          </w:tcPr>
          <w:p>
            <w:pPr>
              <w:jc w:val="left"/>
            </w:pPr>
            <w:r>
              <w:rPr>
                <w:b w:val="false"/>
                <w:bCs w:val="false"/>
                <w:sz w:val="20"/>
                <w:szCs w:val="20"/>
              </w:rPr>
              <w:t xml:space="preserve">39.1%</w:t>
            </w:r>
          </w:p>
        </w:tc>
        <w:tc>
          <w:tcPr>
            <w:tcW w:type="dxa" w:w="1900"/>
            <w:tcMar>
              <w:top w:type="dxa" w:w="60"/>
              <w:left w:type="dxa" w:w="80"/>
              <w:bottom w:type="dxa" w:w="60"/>
              <w:right w:type="dxa" w:w="80"/>
            </w:tcMar>
          </w:tcPr>
          <w:p>
            <w:pPr>
              <w:jc w:val="left"/>
            </w:pPr>
            <w:r>
              <w:rPr>
                <w:b w:val="false"/>
                <w:bCs w:val="false"/>
                <w:sz w:val="20"/>
                <w:szCs w:val="20"/>
              </w:rPr>
              <w:t xml:space="preserve">9,322</w:t>
            </w:r>
          </w:p>
        </w:tc>
      </w:tr>
      <w:tr>
        <w:tc>
          <w:tcPr>
            <w:tcW w:type="dxa" w:w="1800"/>
            <w:tcMar>
              <w:top w:type="dxa" w:w="60"/>
              <w:left w:type="dxa" w:w="80"/>
              <w:bottom w:type="dxa" w:w="60"/>
              <w:right w:type="dxa" w:w="80"/>
            </w:tcMar>
          </w:tcPr>
          <w:p>
            <w:pPr>
              <w:jc w:val="left"/>
            </w:pPr>
            <w:r>
              <w:rPr>
                <w:b w:val="false"/>
                <w:bCs w:val="false"/>
                <w:sz w:val="20"/>
                <w:szCs w:val="20"/>
              </w:rPr>
              <w:t xml:space="preserve">Sunday</w:t>
            </w:r>
          </w:p>
        </w:tc>
        <w:tc>
          <w:tcPr>
            <w:tcW w:type="dxa" w:w="1600"/>
            <w:tcMar>
              <w:top w:type="dxa" w:w="60"/>
              <w:left w:type="dxa" w:w="80"/>
              <w:bottom w:type="dxa" w:w="60"/>
              <w:right w:type="dxa" w:w="80"/>
            </w:tcMar>
          </w:tcPr>
          <w:p>
            <w:pPr>
              <w:jc w:val="left"/>
            </w:pPr>
            <w:r>
              <w:rPr>
                <w:b w:val="false"/>
                <w:bCs w:val="false"/>
                <w:sz w:val="20"/>
                <w:szCs w:val="20"/>
              </w:rPr>
              <w:t xml:space="preserve">23</w:t>
            </w:r>
          </w:p>
        </w:tc>
        <w:tc>
          <w:tcPr>
            <w:tcW w:type="dxa" w:w="1600"/>
            <w:tcMar>
              <w:top w:type="dxa" w:w="60"/>
              <w:left w:type="dxa" w:w="80"/>
              <w:bottom w:type="dxa" w:w="60"/>
              <w:right w:type="dxa" w:w="80"/>
            </w:tcMar>
          </w:tcPr>
          <w:p>
            <w:pPr>
              <w:jc w:val="left"/>
            </w:pPr>
            <w:r>
              <w:rPr>
                <w:b w:val="false"/>
                <w:bCs w:val="false"/>
                <w:sz w:val="20"/>
                <w:szCs w:val="20"/>
              </w:rPr>
              <w:t xml:space="preserve">6</w:t>
            </w:r>
          </w:p>
        </w:tc>
        <w:tc>
          <w:tcPr>
            <w:tcW w:type="dxa" w:w="1600"/>
            <w:tcMar>
              <w:top w:type="dxa" w:w="60"/>
              <w:left w:type="dxa" w:w="80"/>
              <w:bottom w:type="dxa" w:w="60"/>
              <w:right w:type="dxa" w:w="80"/>
            </w:tcMar>
          </w:tcPr>
          <w:p>
            <w:pPr>
              <w:jc w:val="left"/>
            </w:pPr>
            <w:r>
              <w:rPr>
                <w:b w:val="false"/>
                <w:bCs w:val="false"/>
                <w:sz w:val="20"/>
                <w:szCs w:val="20"/>
              </w:rPr>
              <w:t xml:space="preserve">26.1%</w:t>
            </w:r>
          </w:p>
        </w:tc>
        <w:tc>
          <w:tcPr>
            <w:tcW w:type="dxa" w:w="1900"/>
            <w:tcMar>
              <w:top w:type="dxa" w:w="60"/>
              <w:left w:type="dxa" w:w="80"/>
              <w:bottom w:type="dxa" w:w="60"/>
              <w:right w:type="dxa" w:w="80"/>
            </w:tcMar>
          </w:tcPr>
          <w:p>
            <w:pPr>
              <w:jc w:val="left"/>
            </w:pPr>
            <w:r>
              <w:rPr>
                <w:b w:val="false"/>
                <w:bCs w:val="false"/>
                <w:sz w:val="20"/>
                <w:szCs w:val="20"/>
              </w:rPr>
              <w:t xml:space="preserve">11,910</w:t>
            </w:r>
          </w:p>
        </w:tc>
      </w:tr>
    </w:tbl>
    <w:p>
      <w:pPr>
        <w:spacing w:after="120"/>
      </w:pPr>
      <w:r>
        <w:t xml:space="preserve"/>
      </w:r>
    </w:p>
    <w:p>
      <w:pPr>
        <w:spacing w:after="120"/>
      </w:pPr>
      <w:r>
        <w:t xml:space="preserve">Saturday is both the highest-demand day (23 rides, tied with Sunday) and by far the highest-cancellation day (39.1% — roughly double the weekly average of 20.0%). Weekend demand and weekend cancellation risk overlap directly, which matches the brief's flagged pattern of high-demand periods concentrating cancellations.</w:t>
      </w:r>
    </w:p>
    <w:p>
      <w:pPr>
        <w:spacing w:after="120"/>
      </w:pPr>
      <w:r>
        <w:t xml:space="preserve">At the route level, three low-volume routes show 66.7% or higher cancellation (Johar Town → Model Town, Lahore → Model Town, and — at 50% — Wapda Town → Airport), but each has only 2-4 total rides, so these read as early signals to monitor, not proven problem corridors.</w:t>
      </w:r>
    </w:p>
    <w:p>
      <w:pPr>
        <w:spacing w:after="120"/>
      </w:pPr>
      <w:r>
        <w:rPr>
          <w:i/>
          <w:iCs/>
        </w:rPr>
        <w:t xml:space="preserve">Correlation caveat: the overlap between weekend demand and weekend cancellations is a pattern, not a proven cause — supply shortages, pricing, weather, and rider behavior are all plausible explanations that this dataset cannot distinguish between.</w:t>
      </w:r>
    </w:p>
    <w:p>
      <w:pPr>
        <w:pStyle w:val="Heading1"/>
        <w:spacing w:after="150" w:before="300"/>
      </w:pPr>
      <w:r>
        <w:t xml:space="preserve">10. Advanced Power BI Features — Implementation Guide</w:t>
      </w:r>
    </w:p>
    <w:p>
      <w:pPr>
        <w:spacing w:after="120"/>
      </w:pPr>
      <w:r>
        <w:t xml:space="preserve">This report was built and validated outside Power BI (no .pbix authoring tool is available in this environment), so the items below are implementation instructions to apply to the existing Week 4 dashboard, using the DAX in Section 5 and the tables in the companion workbook as the source.</w:t>
      </w:r>
    </w:p>
    <w:p>
      <w:pPr>
        <w:pStyle w:val="ListParagraph"/>
        <w:numPr>
          <w:ilvl w:val="0"/>
          <w:numId w:val="2"/>
        </w:numPr>
        <w:spacing w:after="60"/>
      </w:pPr>
      <w:r>
        <w:t xml:space="preserve">Add one new page: "Advanced Analytics" — keep it focused on 2-3 visuals, not a copy of every chart already on the Week 4 pages ('advanced does not mean overcrowded').</w:t>
      </w:r>
    </w:p>
    <w:p>
      <w:pPr>
        <w:pStyle w:val="ListParagraph"/>
        <w:numPr>
          <w:ilvl w:val="0"/>
          <w:numId w:val="2"/>
        </w:numPr>
        <w:spacing w:after="60"/>
      </w:pPr>
      <w:r>
        <w:t xml:space="preserve">Drill-through: set Pickup Location as a drill-through filter from the Revenue-by-Location visual into a detail page showing that location's routes and weekday cancellation pattern.</w:t>
      </w:r>
    </w:p>
    <w:p>
      <w:pPr>
        <w:pStyle w:val="ListParagraph"/>
        <w:numPr>
          <w:ilvl w:val="0"/>
          <w:numId w:val="2"/>
        </w:numPr>
        <w:spacing w:after="60"/>
      </w:pPr>
      <w:r>
        <w:t xml:space="preserve">Report tooltips: build a small tooltip page showing Total Rides, Cancellation Rate, and Avg Fare, and attach it to the location and weekday visuals.</w:t>
      </w:r>
    </w:p>
    <w:p>
      <w:pPr>
        <w:pStyle w:val="ListParagraph"/>
        <w:numPr>
          <w:ilvl w:val="0"/>
          <w:numId w:val="2"/>
        </w:numPr>
        <w:spacing w:after="60"/>
      </w:pPr>
      <w:r>
        <w:t xml:space="preserve">Bookmarks: one bookmark for the default 'Revenue view' and one for a 'Cancellation view' (same page, different visual focus/filters), toggled by buttons.</w:t>
      </w:r>
    </w:p>
    <w:p>
      <w:pPr>
        <w:pStyle w:val="ListParagraph"/>
        <w:numPr>
          <w:ilvl w:val="0"/>
          <w:numId w:val="2"/>
        </w:numPr>
        <w:spacing w:after="60"/>
      </w:pPr>
      <w:r>
        <w:t xml:space="preserve">Conditional formatting: color the Cancellation Rate column/measure red above 25%, amber 15-25%, green below 15%, on both the Location and Weekday tables.</w:t>
      </w:r>
    </w:p>
    <w:p>
      <w:pPr>
        <w:pStyle w:val="ListParagraph"/>
        <w:numPr>
          <w:ilvl w:val="0"/>
          <w:numId w:val="2"/>
        </w:numPr>
        <w:spacing w:after="60"/>
      </w:pPr>
      <w:r>
        <w:t xml:space="preserve">Dynamic title: a measure-driven title such as "Revenue by Location — " &amp; SELECTEDVALUE('Date Table'[Month]) so the page header updates with any date-slicer filter.</w:t>
      </w:r>
    </w:p>
    <w:p>
      <w:pPr>
        <w:pStyle w:val="ListParagraph"/>
        <w:numPr>
          <w:ilvl w:val="0"/>
          <w:numId w:val="2"/>
        </w:numPr>
        <w:spacing w:after="60"/>
      </w:pPr>
      <w:r>
        <w:t xml:space="preserve">Key influencers / decomposition tree are optional here: with no driver, customer, or ride-type field, there are only 3-4 real dimensions (location, route, payment method, weekday) for either visual to work with — worth adding once a richer dataset (with driver/customer IDs) is available, but low-value on this dataset today.</w:t>
      </w:r>
    </w:p>
    <w:p>
      <w:pPr>
        <w:pStyle w:val="Heading1"/>
        <w:spacing w:after="150" w:before="300"/>
      </w:pPr>
      <w:r>
        <w:t xml:space="preserve">11. Scenario / What-If Analysis</w:t>
      </w:r>
    </w:p>
    <w:p>
      <w:pPr>
        <w:spacing w:after="120"/>
      </w:pPr>
      <w:r>
        <w:t xml:space="preserve">Estimate labeled explicitly — not a guaranteed outcome. Inputs are editable in the 'Scenario Analysis' tab of the companion workbook.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0"/>
        <w:gridCol w:w="4500"/>
      </w:tblGrid>
      <w:tr>
        <w:trPr>
          <w:tblHeader/>
        </w:trPr>
        <w:tc>
          <w:tcPr>
            <w:tcW w:type="dxa" w:w="5000"/>
            <w:shd w:fill="1F4E78" w:val="clear"/>
            <w:tcMar>
              <w:top w:type="dxa" w:w="60"/>
              <w:left w:type="dxa" w:w="80"/>
              <w:bottom w:type="dxa" w:w="60"/>
              <w:right w:type="dxa" w:w="80"/>
            </w:tcMar>
          </w:tcPr>
          <w:p>
            <w:pPr>
              <w:jc w:val="left"/>
            </w:pPr>
            <w:r>
              <w:rPr>
                <w:b/>
                <w:bCs/>
                <w:color w:val="FFFFFF"/>
                <w:sz w:val="20"/>
                <w:szCs w:val="20"/>
              </w:rPr>
              <w:t xml:space="preserve">Input</w:t>
            </w:r>
          </w:p>
        </w:tc>
        <w:tc>
          <w:tcPr>
            <w:tcW w:type="dxa" w:w="4500"/>
            <w:shd w:fill="1F4E78" w:val="clear"/>
            <w:tcMar>
              <w:top w:type="dxa" w:w="60"/>
              <w:left w:type="dxa" w:w="80"/>
              <w:bottom w:type="dxa" w:w="60"/>
              <w:right w:type="dxa" w:w="80"/>
            </w:tcMar>
          </w:tcPr>
          <w:p>
            <w:pPr>
              <w:jc w:val="left"/>
            </w:pPr>
            <w:r>
              <w:rPr>
                <w:b/>
                <w:bCs/>
                <w:color w:val="FFFFFF"/>
                <w:sz w:val="20"/>
                <w:szCs w:val="20"/>
              </w:rPr>
              <w:t xml:space="preserve">Value</w:t>
            </w:r>
          </w:p>
        </w:tc>
      </w:tr>
      <w:tr>
        <w:tc>
          <w:tcPr>
            <w:tcW w:type="dxa" w:w="5000"/>
            <w:tcMar>
              <w:top w:type="dxa" w:w="60"/>
              <w:left w:type="dxa" w:w="80"/>
              <w:bottom w:type="dxa" w:w="60"/>
              <w:right w:type="dxa" w:w="80"/>
            </w:tcMar>
          </w:tcPr>
          <w:p>
            <w:pPr>
              <w:jc w:val="left"/>
            </w:pPr>
            <w:r>
              <w:rPr>
                <w:b w:val="false"/>
                <w:bCs w:val="false"/>
                <w:sz w:val="20"/>
                <w:szCs w:val="20"/>
              </w:rPr>
              <w:t xml:space="preserve">Current cancellation rate</w:t>
            </w:r>
          </w:p>
        </w:tc>
        <w:tc>
          <w:tcPr>
            <w:tcW w:type="dxa" w:w="4500"/>
            <w:tcMar>
              <w:top w:type="dxa" w:w="60"/>
              <w:left w:type="dxa" w:w="80"/>
              <w:bottom w:type="dxa" w:w="60"/>
              <w:right w:type="dxa" w:w="80"/>
            </w:tcMar>
          </w:tcPr>
          <w:p>
            <w:pPr>
              <w:jc w:val="left"/>
            </w:pPr>
            <w:r>
              <w:rPr>
                <w:b w:val="false"/>
                <w:bCs w:val="false"/>
                <w:sz w:val="20"/>
                <w:szCs w:val="20"/>
              </w:rPr>
              <w:t xml:space="preserve">20.0%</w:t>
            </w:r>
          </w:p>
        </w:tc>
      </w:tr>
      <w:tr>
        <w:tc>
          <w:tcPr>
            <w:tcW w:type="dxa" w:w="5000"/>
            <w:tcMar>
              <w:top w:type="dxa" w:w="60"/>
              <w:left w:type="dxa" w:w="80"/>
              <w:bottom w:type="dxa" w:w="60"/>
              <w:right w:type="dxa" w:w="80"/>
            </w:tcMar>
          </w:tcPr>
          <w:p>
            <w:pPr>
              <w:jc w:val="left"/>
            </w:pPr>
            <w:r>
              <w:rPr>
                <w:b w:val="false"/>
                <w:bCs w:val="false"/>
                <w:sz w:val="20"/>
                <w:szCs w:val="20"/>
              </w:rPr>
              <w:t xml:space="preserve">Target cancellation rate</w:t>
            </w:r>
          </w:p>
        </w:tc>
        <w:tc>
          <w:tcPr>
            <w:tcW w:type="dxa" w:w="4500"/>
            <w:tcMar>
              <w:top w:type="dxa" w:w="60"/>
              <w:left w:type="dxa" w:w="80"/>
              <w:bottom w:type="dxa" w:w="60"/>
              <w:right w:type="dxa" w:w="80"/>
            </w:tcMar>
          </w:tcPr>
          <w:p>
            <w:pPr>
              <w:jc w:val="left"/>
            </w:pPr>
            <w:r>
              <w:rPr>
                <w:b w:val="false"/>
                <w:bCs w:val="false"/>
                <w:sz w:val="20"/>
                <w:szCs w:val="20"/>
              </w:rPr>
              <w:t xml:space="preserve">15.0%</w:t>
            </w:r>
          </w:p>
        </w:tc>
      </w:tr>
      <w:tr>
        <w:tc>
          <w:tcPr>
            <w:tcW w:type="dxa" w:w="5000"/>
            <w:tcMar>
              <w:top w:type="dxa" w:w="60"/>
              <w:left w:type="dxa" w:w="80"/>
              <w:bottom w:type="dxa" w:w="60"/>
              <w:right w:type="dxa" w:w="80"/>
            </w:tcMar>
          </w:tcPr>
          <w:p>
            <w:pPr>
              <w:jc w:val="left"/>
            </w:pPr>
            <w:r>
              <w:rPr>
                <w:b w:val="false"/>
                <w:bCs w:val="false"/>
                <w:sz w:val="20"/>
                <w:szCs w:val="20"/>
              </w:rPr>
              <w:t xml:space="preserve">Current average fare</w:t>
            </w:r>
          </w:p>
        </w:tc>
        <w:tc>
          <w:tcPr>
            <w:tcW w:type="dxa" w:w="4500"/>
            <w:tcMar>
              <w:top w:type="dxa" w:w="60"/>
              <w:left w:type="dxa" w:w="80"/>
              <w:bottom w:type="dxa" w:w="60"/>
              <w:right w:type="dxa" w:w="80"/>
            </w:tcMar>
          </w:tcPr>
          <w:p>
            <w:pPr>
              <w:jc w:val="left"/>
            </w:pPr>
            <w:r>
              <w:rPr>
                <w:b w:val="false"/>
                <w:bCs w:val="false"/>
                <w:sz w:val="20"/>
                <w:szCs w:val="20"/>
              </w:rPr>
              <w:t xml:space="preserve">681.53</w:t>
            </w:r>
          </w:p>
        </w:tc>
      </w:tr>
      <w:tr>
        <w:tc>
          <w:tcPr>
            <w:tcW w:type="dxa" w:w="5000"/>
            <w:tcMar>
              <w:top w:type="dxa" w:w="60"/>
              <w:left w:type="dxa" w:w="80"/>
              <w:bottom w:type="dxa" w:w="60"/>
              <w:right w:type="dxa" w:w="80"/>
            </w:tcMar>
          </w:tcPr>
          <w:p>
            <w:pPr>
              <w:jc w:val="left"/>
            </w:pPr>
            <w:r>
              <w:rPr>
                <w:b w:val="false"/>
                <w:bCs w:val="false"/>
                <w:sz w:val="20"/>
                <w:szCs w:val="20"/>
              </w:rPr>
              <w:t xml:space="preserve">Assumed fare increase</w:t>
            </w:r>
          </w:p>
        </w:tc>
        <w:tc>
          <w:tcPr>
            <w:tcW w:type="dxa" w:w="4500"/>
            <w:tcMar>
              <w:top w:type="dxa" w:w="60"/>
              <w:left w:type="dxa" w:w="80"/>
              <w:bottom w:type="dxa" w:w="60"/>
              <w:right w:type="dxa" w:w="80"/>
            </w:tcMar>
          </w:tcPr>
          <w:p>
            <w:pPr>
              <w:jc w:val="left"/>
            </w:pPr>
            <w:r>
              <w:rPr>
                <w:b w:val="false"/>
                <w:bCs w:val="false"/>
                <w:sz w:val="20"/>
                <w:szCs w:val="20"/>
              </w:rPr>
              <w:t xml:space="preserve">5%</w:t>
            </w:r>
          </w:p>
        </w:tc>
      </w:tr>
    </w:tbl>
    <w:p>
      <w:pPr>
        <w:spacing w:after="12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300"/>
        <w:gridCol w:w="3200"/>
      </w:tblGrid>
      <w:tr>
        <w:trPr>
          <w:tblHeader/>
        </w:trPr>
        <w:tc>
          <w:tcPr>
            <w:tcW w:type="dxa" w:w="6300"/>
            <w:shd w:fill="1F4E78" w:val="clear"/>
            <w:tcMar>
              <w:top w:type="dxa" w:w="60"/>
              <w:left w:type="dxa" w:w="80"/>
              <w:bottom w:type="dxa" w:w="60"/>
              <w:right w:type="dxa" w:w="80"/>
            </w:tcMar>
          </w:tcPr>
          <w:p>
            <w:pPr>
              <w:jc w:val="left"/>
            </w:pPr>
            <w:r>
              <w:rPr>
                <w:b/>
                <w:bCs/>
                <w:color w:val="FFFFFF"/>
                <w:sz w:val="20"/>
                <w:szCs w:val="20"/>
              </w:rPr>
              <w:t xml:space="preserve">Output</w:t>
            </w:r>
          </w:p>
        </w:tc>
        <w:tc>
          <w:tcPr>
            <w:tcW w:type="dxa" w:w="3200"/>
            <w:shd w:fill="1F4E78" w:val="clear"/>
            <w:tcMar>
              <w:top w:type="dxa" w:w="60"/>
              <w:left w:type="dxa" w:w="80"/>
              <w:bottom w:type="dxa" w:w="60"/>
              <w:right w:type="dxa" w:w="80"/>
            </w:tcMar>
          </w:tcPr>
          <w:p>
            <w:pPr>
              <w:jc w:val="left"/>
            </w:pPr>
            <w:r>
              <w:rPr>
                <w:b/>
                <w:bCs/>
                <w:color w:val="FFFFFF"/>
                <w:sz w:val="20"/>
                <w:szCs w:val="20"/>
              </w:rPr>
              <w:t xml:space="preserve">Estimate</w:t>
            </w:r>
          </w:p>
        </w:tc>
      </w:tr>
      <w:tr>
        <w:tc>
          <w:tcPr>
            <w:tcW w:type="dxa" w:w="6300"/>
            <w:tcMar>
              <w:top w:type="dxa" w:w="60"/>
              <w:left w:type="dxa" w:w="80"/>
              <w:bottom w:type="dxa" w:w="60"/>
              <w:right w:type="dxa" w:w="80"/>
            </w:tcMar>
          </w:tcPr>
          <w:p>
            <w:pPr>
              <w:jc w:val="left"/>
            </w:pPr>
            <w:r>
              <w:rPr>
                <w:b w:val="false"/>
                <w:bCs w:val="false"/>
                <w:sz w:val="20"/>
                <w:szCs w:val="20"/>
              </w:rPr>
              <w:t xml:space="preserve">Additional completed rides if cancellation drops to 15%</w:t>
            </w:r>
          </w:p>
        </w:tc>
        <w:tc>
          <w:tcPr>
            <w:tcW w:type="dxa" w:w="3200"/>
            <w:tcMar>
              <w:top w:type="dxa" w:w="60"/>
              <w:left w:type="dxa" w:w="80"/>
              <w:bottom w:type="dxa" w:w="60"/>
              <w:right w:type="dxa" w:w="80"/>
            </w:tcMar>
          </w:tcPr>
          <w:p>
            <w:pPr>
              <w:jc w:val="left"/>
            </w:pPr>
            <w:r>
              <w:rPr>
                <w:b w:val="false"/>
                <w:bCs w:val="false"/>
                <w:sz w:val="20"/>
                <w:szCs w:val="20"/>
              </w:rPr>
              <w:t xml:space="preserve">6 rides</w:t>
            </w:r>
          </w:p>
        </w:tc>
      </w:tr>
      <w:tr>
        <w:tc>
          <w:tcPr>
            <w:tcW w:type="dxa" w:w="6300"/>
            <w:tcMar>
              <w:top w:type="dxa" w:w="60"/>
              <w:left w:type="dxa" w:w="80"/>
              <w:bottom w:type="dxa" w:w="60"/>
              <w:right w:type="dxa" w:w="80"/>
            </w:tcMar>
          </w:tcPr>
          <w:p>
            <w:pPr>
              <w:jc w:val="left"/>
            </w:pPr>
            <w:r>
              <w:rPr>
                <w:b w:val="false"/>
                <w:bCs w:val="false"/>
                <w:sz w:val="20"/>
                <w:szCs w:val="20"/>
              </w:rPr>
              <w:t xml:space="preserve">Extra revenue from fewer cancellations</w:t>
            </w:r>
          </w:p>
        </w:tc>
        <w:tc>
          <w:tcPr>
            <w:tcW w:type="dxa" w:w="3200"/>
            <w:tcMar>
              <w:top w:type="dxa" w:w="60"/>
              <w:left w:type="dxa" w:w="80"/>
              <w:bottom w:type="dxa" w:w="60"/>
              <w:right w:type="dxa" w:w="80"/>
            </w:tcMar>
          </w:tcPr>
          <w:p>
            <w:pPr>
              <w:jc w:val="left"/>
            </w:pPr>
            <w:r>
              <w:rPr>
                <w:b w:val="false"/>
                <w:bCs w:val="false"/>
                <w:sz w:val="20"/>
                <w:szCs w:val="20"/>
              </w:rPr>
              <w:t xml:space="preserve">≈ PKR 4,089</w:t>
            </w:r>
          </w:p>
        </w:tc>
      </w:tr>
      <w:tr>
        <w:tc>
          <w:tcPr>
            <w:tcW w:type="dxa" w:w="6300"/>
            <w:tcMar>
              <w:top w:type="dxa" w:w="60"/>
              <w:left w:type="dxa" w:w="80"/>
              <w:bottom w:type="dxa" w:w="60"/>
              <w:right w:type="dxa" w:w="80"/>
            </w:tcMar>
          </w:tcPr>
          <w:p>
            <w:pPr>
              <w:jc w:val="left"/>
            </w:pPr>
            <w:r>
              <w:rPr>
                <w:b w:val="false"/>
                <w:bCs w:val="false"/>
                <w:sz w:val="20"/>
                <w:szCs w:val="20"/>
              </w:rPr>
              <w:t xml:space="preserve">Revenue impact of a 5% fare increase on existing completed rides</w:t>
            </w:r>
          </w:p>
        </w:tc>
        <w:tc>
          <w:tcPr>
            <w:tcW w:type="dxa" w:w="3200"/>
            <w:tcMar>
              <w:top w:type="dxa" w:w="60"/>
              <w:left w:type="dxa" w:w="80"/>
              <w:bottom w:type="dxa" w:w="60"/>
              <w:right w:type="dxa" w:w="80"/>
            </w:tcMar>
          </w:tcPr>
          <w:p>
            <w:pPr>
              <w:jc w:val="left"/>
            </w:pPr>
            <w:r>
              <w:rPr>
                <w:b w:val="false"/>
                <w:bCs w:val="false"/>
                <w:sz w:val="20"/>
                <w:szCs w:val="20"/>
              </w:rPr>
              <w:t xml:space="preserve">≈ PKR 3,271</w:t>
            </w:r>
          </w:p>
        </w:tc>
      </w:tr>
      <w:tr>
        <w:tc>
          <w:tcPr>
            <w:tcW w:type="dxa" w:w="6300"/>
            <w:tcMar>
              <w:top w:type="dxa" w:w="60"/>
              <w:left w:type="dxa" w:w="80"/>
              <w:bottom w:type="dxa" w:w="60"/>
              <w:right w:type="dxa" w:w="80"/>
            </w:tcMar>
          </w:tcPr>
          <w:p>
            <w:pPr>
              <w:jc w:val="left"/>
            </w:pPr>
            <w:r>
              <w:rPr>
                <w:b w:val="false"/>
                <w:bCs w:val="false"/>
                <w:sz w:val="20"/>
                <w:szCs w:val="20"/>
              </w:rPr>
              <w:t xml:space="preserve">Combined estimated revenue uplift</w:t>
            </w:r>
          </w:p>
        </w:tc>
        <w:tc>
          <w:tcPr>
            <w:tcW w:type="dxa" w:w="3200"/>
            <w:tcMar>
              <w:top w:type="dxa" w:w="60"/>
              <w:left w:type="dxa" w:w="80"/>
              <w:bottom w:type="dxa" w:w="60"/>
              <w:right w:type="dxa" w:w="80"/>
            </w:tcMar>
          </w:tcPr>
          <w:p>
            <w:pPr>
              <w:jc w:val="left"/>
            </w:pPr>
            <w:r>
              <w:rPr>
                <w:b w:val="false"/>
                <w:bCs w:val="false"/>
                <w:sz w:val="20"/>
                <w:szCs w:val="20"/>
              </w:rPr>
              <w:t xml:space="preserve">≈ PKR 7,361 (+11.3% of current revenue)</w:t>
            </w:r>
          </w:p>
        </w:tc>
      </w:tr>
    </w:tbl>
    <w:p>
      <w:pPr>
        <w:spacing w:after="120"/>
      </w:pPr>
      <w:r>
        <w:t xml:space="preserve"/>
      </w:r>
    </w:p>
    <w:p>
      <w:pPr>
        <w:spacing w:after="120"/>
      </w:pPr>
      <w:r>
        <w:rPr>
          <w:i/>
          <w:iCs/>
        </w:rPr>
        <w:t xml:space="preserve">Assumptions: fare mix and demand pattern stay constant; every ride 'saved' from cancellation converts to a completed ride at the current average fare; no cost data exists, so this is a revenue estimate, not a profit estimate.</w:t>
      </w:r>
    </w:p>
    <w:p>
      <w:pPr>
        <w:pStyle w:val="Heading1"/>
        <w:spacing w:after="150" w:before="300"/>
      </w:pPr>
      <w:r>
        <w:t xml:space="preserve">12. Business Questions Answered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300"/>
        <w:gridCol w:w="4800"/>
      </w:tblGrid>
      <w:tr>
        <w:trPr>
          <w:tblHeader/>
        </w:trPr>
        <w:tc>
          <w:tcPr>
            <w:tcW w:type="dxa" w:w="4300"/>
            <w:shd w:fill="1F4E78" w:val="clear"/>
            <w:tcMar>
              <w:top w:type="dxa" w:w="60"/>
              <w:left w:type="dxa" w:w="80"/>
              <w:bottom w:type="dxa" w:w="60"/>
              <w:right w:type="dxa" w:w="80"/>
            </w:tcMar>
          </w:tcPr>
          <w:p>
            <w:pPr>
              <w:jc w:val="left"/>
            </w:pPr>
            <w:r>
              <w:rPr>
                <w:b/>
                <w:bCs/>
                <w:color w:val="FFFFFF"/>
                <w:sz w:val="20"/>
                <w:szCs w:val="20"/>
              </w:rPr>
              <w:t xml:space="preserve">Question</w:t>
            </w:r>
          </w:p>
        </w:tc>
        <w:tc>
          <w:tcPr>
            <w:tcW w:type="dxa" w:w="4800"/>
            <w:shd w:fill="1F4E78" w:val="clear"/>
            <w:tcMar>
              <w:top w:type="dxa" w:w="60"/>
              <w:left w:type="dxa" w:w="80"/>
              <w:bottom w:type="dxa" w:w="60"/>
              <w:right w:type="dxa" w:w="80"/>
            </w:tcMar>
          </w:tcPr>
          <w:p>
            <w:pPr>
              <w:jc w:val="left"/>
            </w:pPr>
            <w:r>
              <w:rPr>
                <w:b/>
                <w:bCs/>
                <w:color w:val="FFFFFF"/>
                <w:sz w:val="20"/>
                <w:szCs w:val="20"/>
              </w:rPr>
              <w:t xml:space="preserve">Answer (from the data)</w:t>
            </w:r>
          </w:p>
        </w:tc>
      </w:tr>
      <w:tr>
        <w:tc>
          <w:tcPr>
            <w:tcW w:type="dxa" w:w="4300"/>
            <w:tcMar>
              <w:top w:type="dxa" w:w="60"/>
              <w:left w:type="dxa" w:w="80"/>
              <w:bottom w:type="dxa" w:w="60"/>
              <w:right w:type="dxa" w:w="80"/>
            </w:tcMar>
          </w:tcPr>
          <w:p>
            <w:pPr>
              <w:jc w:val="left"/>
            </w:pPr>
            <w:r>
              <w:rPr>
                <w:b w:val="false"/>
                <w:bCs w:val="false"/>
                <w:sz w:val="20"/>
                <w:szCs w:val="20"/>
              </w:rPr>
              <w:t xml:space="preserve">Which periods/locations combine high demand with high cancellation?</w:t>
            </w:r>
          </w:p>
        </w:tc>
        <w:tc>
          <w:tcPr>
            <w:tcW w:type="dxa" w:w="4800"/>
            <w:tcMar>
              <w:top w:type="dxa" w:w="60"/>
              <w:left w:type="dxa" w:w="80"/>
              <w:bottom w:type="dxa" w:w="60"/>
              <w:right w:type="dxa" w:w="80"/>
            </w:tcMar>
          </w:tcPr>
          <w:p>
            <w:pPr>
              <w:jc w:val="left"/>
            </w:pPr>
            <w:r>
              <w:rPr>
                <w:b w:val="false"/>
                <w:bCs w:val="false"/>
                <w:sz w:val="20"/>
                <w:szCs w:val="20"/>
              </w:rPr>
              <w:t xml:space="preserve">Saturday overall (23 rides, 39.1% cancelled); Johar Town among locations (21 rides, 19.0% cancelled).</w:t>
            </w:r>
          </w:p>
        </w:tc>
      </w:tr>
      <w:tr>
        <w:tc>
          <w:tcPr>
            <w:tcW w:type="dxa" w:w="4300"/>
            <w:tcMar>
              <w:top w:type="dxa" w:w="60"/>
              <w:left w:type="dxa" w:w="80"/>
              <w:bottom w:type="dxa" w:w="60"/>
              <w:right w:type="dxa" w:w="80"/>
            </w:tcMar>
          </w:tcPr>
          <w:p>
            <w:pPr>
              <w:jc w:val="left"/>
            </w:pPr>
            <w:r>
              <w:rPr>
                <w:b w:val="false"/>
                <w:bCs w:val="false"/>
                <w:sz w:val="20"/>
                <w:szCs w:val="20"/>
              </w:rPr>
              <w:t xml:space="preserve">Which segments generate the largest share of completed-ride revenue?</w:t>
            </w:r>
          </w:p>
        </w:tc>
        <w:tc>
          <w:tcPr>
            <w:tcW w:type="dxa" w:w="4800"/>
            <w:tcMar>
              <w:top w:type="dxa" w:w="60"/>
              <w:left w:type="dxa" w:w="80"/>
              <w:bottom w:type="dxa" w:w="60"/>
              <w:right w:type="dxa" w:w="80"/>
            </w:tcMar>
          </w:tcPr>
          <w:p>
            <w:pPr>
              <w:jc w:val="left"/>
            </w:pPr>
            <w:r>
              <w:rPr>
                <w:b w:val="false"/>
                <w:bCs w:val="false"/>
                <w:sz w:val="20"/>
                <w:szCs w:val="20"/>
              </w:rPr>
              <w:t xml:space="preserve">The High fare tier: 33% of rides, 49.9% of revenue. By location, Johar Town leads at 17.3%.</w:t>
            </w:r>
          </w:p>
        </w:tc>
      </w:tr>
      <w:tr>
        <w:tc>
          <w:tcPr>
            <w:tcW w:type="dxa" w:w="4300"/>
            <w:tcMar>
              <w:top w:type="dxa" w:w="60"/>
              <w:left w:type="dxa" w:w="80"/>
              <w:bottom w:type="dxa" w:w="60"/>
              <w:right w:type="dxa" w:w="80"/>
            </w:tcMar>
          </w:tcPr>
          <w:p>
            <w:pPr>
              <w:jc w:val="left"/>
            </w:pPr>
            <w:r>
              <w:rPr>
                <w:b w:val="false"/>
                <w:bCs w:val="false"/>
                <w:sz w:val="20"/>
                <w:szCs w:val="20"/>
              </w:rPr>
              <w:t xml:space="preserve">Which customer segments contribute most to rides or revenue?</w:t>
            </w:r>
          </w:p>
        </w:tc>
        <w:tc>
          <w:tcPr>
            <w:tcW w:type="dxa" w:w="4800"/>
            <w:tcMar>
              <w:top w:type="dxa" w:w="60"/>
              <w:left w:type="dxa" w:w="80"/>
              <w:bottom w:type="dxa" w:w="60"/>
              <w:right w:type="dxa" w:w="80"/>
            </w:tcMar>
          </w:tcPr>
          <w:p>
            <w:pPr>
              <w:jc w:val="left"/>
            </w:pPr>
            <w:r>
              <w:rPr>
                <w:b w:val="false"/>
                <w:bCs w:val="false"/>
                <w:sz w:val="20"/>
                <w:szCs w:val="20"/>
              </w:rPr>
              <w:t xml:space="preserve">Not answerable — no Customer ID exists (Section 7).</w:t>
            </w:r>
          </w:p>
        </w:tc>
      </w:tr>
      <w:tr>
        <w:tc>
          <w:tcPr>
            <w:tcW w:type="dxa" w:w="4300"/>
            <w:tcMar>
              <w:top w:type="dxa" w:w="60"/>
              <w:left w:type="dxa" w:w="80"/>
              <w:bottom w:type="dxa" w:w="60"/>
              <w:right w:type="dxa" w:w="80"/>
            </w:tcMar>
          </w:tcPr>
          <w:p>
            <w:pPr>
              <w:jc w:val="left"/>
            </w:pPr>
            <w:r>
              <w:rPr>
                <w:b w:val="false"/>
                <w:bCs w:val="false"/>
                <w:sz w:val="20"/>
                <w:szCs w:val="20"/>
              </w:rPr>
              <w:t xml:space="preserve">Which drivers differ most from the relevant benchmark?</w:t>
            </w:r>
          </w:p>
        </w:tc>
        <w:tc>
          <w:tcPr>
            <w:tcW w:type="dxa" w:w="4800"/>
            <w:tcMar>
              <w:top w:type="dxa" w:w="60"/>
              <w:left w:type="dxa" w:w="80"/>
              <w:bottom w:type="dxa" w:w="60"/>
              <w:right w:type="dxa" w:w="80"/>
            </w:tcMar>
          </w:tcPr>
          <w:p>
            <w:pPr>
              <w:jc w:val="left"/>
            </w:pPr>
            <w:r>
              <w:rPr>
                <w:b w:val="false"/>
                <w:bCs w:val="false"/>
                <w:sz w:val="20"/>
                <w:szCs w:val="20"/>
              </w:rPr>
              <w:t xml:space="preserve">Not answerable — no Driver ID exists (Section 8).</w:t>
            </w:r>
          </w:p>
        </w:tc>
      </w:tr>
      <w:tr>
        <w:tc>
          <w:tcPr>
            <w:tcW w:type="dxa" w:w="4300"/>
            <w:tcMar>
              <w:top w:type="dxa" w:w="60"/>
              <w:left w:type="dxa" w:w="80"/>
              <w:bottom w:type="dxa" w:w="60"/>
              <w:right w:type="dxa" w:w="80"/>
            </w:tcMar>
          </w:tcPr>
          <w:p>
            <w:pPr>
              <w:jc w:val="left"/>
            </w:pPr>
            <w:r>
              <w:rPr>
                <w:b w:val="false"/>
                <w:bCs w:val="false"/>
                <w:sz w:val="20"/>
                <w:szCs w:val="20"/>
              </w:rPr>
              <w:t xml:space="preserve">Which locations have strong demand but weaker revenue per completed ride?</w:t>
            </w:r>
          </w:p>
        </w:tc>
        <w:tc>
          <w:tcPr>
            <w:tcW w:type="dxa" w:w="4800"/>
            <w:tcMar>
              <w:top w:type="dxa" w:w="60"/>
              <w:left w:type="dxa" w:w="80"/>
              <w:bottom w:type="dxa" w:w="60"/>
              <w:right w:type="dxa" w:w="80"/>
            </w:tcMar>
          </w:tcPr>
          <w:p>
            <w:pPr>
              <w:jc w:val="left"/>
            </w:pPr>
            <w:r>
              <w:rPr>
                <w:b w:val="false"/>
                <w:bCs w:val="false"/>
                <w:sz w:val="20"/>
                <w:szCs w:val="20"/>
              </w:rPr>
              <w:t xml:space="preserve">DHA has the lowest avg fare (586) among all pickup points despite reasonable completion; Wapda Town has solid volume (18) with a below-median avg fare (700 vs. the dataset's higher tiers).</w:t>
            </w:r>
          </w:p>
        </w:tc>
      </w:tr>
      <w:tr>
        <w:tc>
          <w:tcPr>
            <w:tcW w:type="dxa" w:w="4300"/>
            <w:tcMar>
              <w:top w:type="dxa" w:w="60"/>
              <w:left w:type="dxa" w:w="80"/>
              <w:bottom w:type="dxa" w:w="60"/>
              <w:right w:type="dxa" w:w="80"/>
            </w:tcMar>
          </w:tcPr>
          <w:p>
            <w:pPr>
              <w:jc w:val="left"/>
            </w:pPr>
            <w:r>
              <w:rPr>
                <w:b w:val="false"/>
                <w:bCs w:val="false"/>
                <w:sz w:val="20"/>
                <w:szCs w:val="20"/>
              </w:rPr>
              <w:t xml:space="preserve">Which areas deserve further investigation before the final project?</w:t>
            </w:r>
          </w:p>
        </w:tc>
        <w:tc>
          <w:tcPr>
            <w:tcW w:type="dxa" w:w="4800"/>
            <w:tcMar>
              <w:top w:type="dxa" w:w="60"/>
              <w:left w:type="dxa" w:w="80"/>
              <w:bottom w:type="dxa" w:w="60"/>
              <w:right w:type="dxa" w:w="80"/>
            </w:tcMar>
          </w:tcPr>
          <w:p>
            <w:pPr>
              <w:jc w:val="left"/>
            </w:pPr>
            <w:r>
              <w:rPr>
                <w:b w:val="false"/>
                <w:bCs w:val="false"/>
                <w:sz w:val="20"/>
                <w:szCs w:val="20"/>
              </w:rPr>
              <w:t xml:space="preserve">Saturday/weekend cancellation spikes; the Wallet payment method's above-average cancellation on a small base; and adding Driver ID/Customer ID/timestamp/distance fields, without which Sections 7 and 8 of the brief cannot be completed.</w:t>
            </w:r>
          </w:p>
        </w:tc>
      </w:tr>
    </w:tbl>
    <w:p>
      <w:pPr>
        <w:spacing w:after="120"/>
      </w:pPr>
      <w:r>
        <w:t xml:space="preserve"/>
      </w:r>
    </w:p>
    <w:p>
      <w:pPr>
        <w:pStyle w:val="Heading1"/>
        <w:spacing w:after="150" w:before="300"/>
      </w:pPr>
      <w:r>
        <w:t xml:space="preserve">13. Advanced Business Insights</w:t>
      </w:r>
    </w:p>
    <w:p>
      <w:pPr>
        <w:pStyle w:val="ListParagraph"/>
        <w:numPr>
          <w:ilvl w:val="0"/>
          <w:numId w:val="2"/>
        </w:numPr>
        <w:spacing w:after="60"/>
      </w:pPr>
      <w:r>
        <w:t xml:space="preserve">Cancellation runs at 20.0% overall (24 of 120 rides), well above what most ride-hailing benchmarks treat as healthy (commonly under ~10-15%).</w:t>
      </w:r>
    </w:p>
    <w:p>
      <w:pPr>
        <w:pStyle w:val="ListParagraph"/>
        <w:numPr>
          <w:ilvl w:val="0"/>
          <w:numId w:val="2"/>
        </w:numPr>
        <w:spacing w:after="60"/>
      </w:pPr>
      <w:r>
        <w:t xml:space="preserve">Saturday cancellations (39.1%) are roughly double the weekly average and more than 5x Thursday's rate (0.0%) — the strongest single pattern in the dataset.</w:t>
      </w:r>
    </w:p>
    <w:p>
      <w:pPr>
        <w:pStyle w:val="ListParagraph"/>
        <w:numPr>
          <w:ilvl w:val="0"/>
          <w:numId w:val="2"/>
        </w:numPr>
        <w:spacing w:after="60"/>
      </w:pPr>
      <w:r>
        <w:t xml:space="preserve">Card payments are simultaneously the largest revenue share (40.4%) and the most reliable channel (15.6% cancellation) — the opposite is true for Wallet (26.7% of revenue, 24.2% cancellation).</w:t>
      </w:r>
    </w:p>
    <w:p>
      <w:pPr>
        <w:pStyle w:val="ListParagraph"/>
        <w:numPr>
          <w:ilvl w:val="0"/>
          <w:numId w:val="2"/>
        </w:numPr>
        <w:spacing w:after="60"/>
      </w:pPr>
      <w:r>
        <w:t xml:space="preserve">The top third of completed rides by fare (the 'High' tier, avg. 1,021) generates 49.9% of total revenue — essentially half the business rides on a third of the trips.</w:t>
      </w:r>
    </w:p>
    <w:p>
      <w:pPr>
        <w:pStyle w:val="ListParagraph"/>
        <w:numPr>
          <w:ilvl w:val="0"/>
          <w:numId w:val="2"/>
        </w:numPr>
        <w:spacing w:after="60"/>
      </w:pPr>
      <w:r>
        <w:t xml:space="preserve">Johar Town is the single largest revenue location (17.3%) but also runs a higher-than-average cancellation rate (19.0%), making it the highest-priority location to protect.</w:t>
      </w:r>
    </w:p>
    <w:p>
      <w:pPr>
        <w:pStyle w:val="ListParagraph"/>
        <w:numPr>
          <w:ilvl w:val="0"/>
          <w:numId w:val="2"/>
        </w:numPr>
        <w:spacing w:after="60"/>
      </w:pPr>
      <w:r>
        <w:t xml:space="preserve">Gulberg has the lowest cancellation rate of any location (6.7%) at solid volume (15 rides) — an internal benchmark for what 'good' looks like operationally.</w:t>
      </w:r>
    </w:p>
    <w:p>
      <w:pPr>
        <w:pStyle w:val="ListParagraph"/>
        <w:numPr>
          <w:ilvl w:val="0"/>
          <w:numId w:val="2"/>
        </w:numPr>
        <w:spacing w:after="60"/>
      </w:pPr>
      <w:r>
        <w:t xml:space="preserve">Week-over-week revenue is volatile (+185% week 32, -32% week 33, +104% week 34, -37% week 35) with no sustained growth trend across the one month of data — read this as normal small-sample noise, not a real trend, until more weeks accumulate.</w:t>
      </w:r>
    </w:p>
    <w:p>
      <w:pPr>
        <w:pStyle w:val="ListParagraph"/>
        <w:numPr>
          <w:ilvl w:val="0"/>
          <w:numId w:val="2"/>
        </w:numPr>
        <w:spacing w:after="60"/>
      </w:pPr>
      <w:r>
        <w:t xml:space="preserve">Ratings only exist for completed rides (by definition) and average 3.96/5; average fare rises slightly with rating (3★: 655, 4★: 689, 5★: 700), a mild but real association worth re-testing on more data.</w:t>
      </w:r>
    </w:p>
    <w:p>
      <w:pPr>
        <w:pStyle w:val="ListParagraph"/>
        <w:numPr>
          <w:ilvl w:val="0"/>
          <w:numId w:val="2"/>
        </w:numPr>
        <w:spacing w:after="60"/>
      </w:pPr>
      <w:r>
        <w:t xml:space="preserve">Three individual routes show 50%+ cancellation, but each has only 2-4 total rides — flagged as an early signal, not a statistically reliable finding.</w:t>
      </w:r>
    </w:p>
    <w:p>
      <w:pPr>
        <w:pStyle w:val="ListParagraph"/>
        <w:numPr>
          <w:ilvl w:val="0"/>
          <w:numId w:val="2"/>
        </w:numPr>
        <w:spacing w:after="60"/>
      </w:pPr>
      <w:r>
        <w:t xml:space="preserve">Duplicate IDs, missing keys, invalid dates, and negative/zero fares were all checked and are absent — the dataset's structural quality is clean where it can be measured; the real gaps are missing fields (driver, customer, distance, time), not bad data.</w:t>
      </w:r>
    </w:p>
    <w:p>
      <w:pPr>
        <w:pStyle w:val="Heading1"/>
        <w:spacing w:after="150" w:before="300"/>
      </w:pPr>
      <w:r>
        <w:t xml:space="preserve">14. Business Recommendations</w:t>
      </w:r>
    </w:p>
    <w:p>
      <w:pPr>
        <w:pStyle w:val="Heading2"/>
        <w:spacing w:after="100" w:before="220"/>
      </w:pPr>
      <w:r>
        <w:t xml:space="preserve">14.1 Directly supported by this dataset</w:t>
      </w:r>
    </w:p>
    <w:p>
      <w:pPr>
        <w:pStyle w:val="ListParagraph"/>
        <w:numPr>
          <w:ilvl w:val="0"/>
          <w:numId w:val="2"/>
        </w:numPr>
        <w:spacing w:after="60"/>
      </w:pPr>
      <w:r>
        <w:t xml:space="preserve">Investigate Saturday operations first: shift supply planning, driver incentives, or surge/communication toward Saturdays, since that single day accounts for a disproportionate share of all cancellations (9 of 24).</w:t>
      </w:r>
    </w:p>
    <w:p>
      <w:pPr>
        <w:pStyle w:val="ListParagraph"/>
        <w:numPr>
          <w:ilvl w:val="0"/>
          <w:numId w:val="2"/>
        </w:numPr>
        <w:spacing w:after="60"/>
      </w:pPr>
      <w:r>
        <w:t xml:space="preserve">Protect Johar Town specifically: it is the top revenue location and has an above-average cancellation rate — even a modest improvement there has outsized revenue impact given its 17.3% revenue share.</w:t>
      </w:r>
    </w:p>
    <w:p>
      <w:pPr>
        <w:pStyle w:val="ListParagraph"/>
        <w:numPr>
          <w:ilvl w:val="0"/>
          <w:numId w:val="2"/>
        </w:numPr>
        <w:spacing w:after="60"/>
      </w:pPr>
      <w:r>
        <w:t xml:space="preserve">Study Gulberg's low-cancellation pattern (payment mix, routes, timing) as an internal best-practice benchmark to try replicating elsewhere.</w:t>
      </w:r>
    </w:p>
    <w:p>
      <w:pPr>
        <w:pStyle w:val="ListParagraph"/>
        <w:numPr>
          <w:ilvl w:val="0"/>
          <w:numId w:val="2"/>
        </w:numPr>
        <w:spacing w:after="60"/>
      </w:pPr>
      <w:r>
        <w:t xml:space="preserve">Re-examine the Wallet payment experience (app flow, wallet balance friction, confirmation steps) given its cancellation rate is the highest of the three payment methods, even on a modest sample.</w:t>
      </w:r>
    </w:p>
    <w:p>
      <w:pPr>
        <w:pStyle w:val="ListParagraph"/>
        <w:numPr>
          <w:ilvl w:val="0"/>
          <w:numId w:val="2"/>
        </w:numPr>
        <w:spacing w:after="60"/>
      </w:pPr>
      <w:r>
        <w:t xml:space="preserve">Use the fare-tier view (Section 7) in Power BI to track the 'High' tier separately in reporting, since it already represents half of revenue from a third of rides.</w:t>
      </w:r>
    </w:p>
    <w:p>
      <w:pPr>
        <w:pStyle w:val="Heading2"/>
        <w:spacing w:after="100" w:before="220"/>
      </w:pPr>
      <w:r>
        <w:t xml:space="preserve">14.2 Requires additional data or testing before acting</w:t>
      </w:r>
    </w:p>
    <w:p>
      <w:pPr>
        <w:pStyle w:val="ListParagraph"/>
        <w:numPr>
          <w:ilvl w:val="0"/>
          <w:numId w:val="2"/>
        </w:numPr>
        <w:spacing w:after="60"/>
      </w:pPr>
      <w:r>
        <w:t xml:space="preserve">Any driver-level recommendation (rewarding, coaching, or reassigning drivers) requires adding a Driver ID field first — nothing in this dataset can currently support a driver decision.</w:t>
      </w:r>
    </w:p>
    <w:p>
      <w:pPr>
        <w:pStyle w:val="ListParagraph"/>
        <w:numPr>
          <w:ilvl w:val="0"/>
          <w:numId w:val="2"/>
        </w:numPr>
        <w:spacing w:after="60"/>
      </w:pPr>
      <w:r>
        <w:t xml:space="preserve">Any customer-retention program (loyalty tiers, win-back campaigns) requires a Customer ID field — the fare-tier segmentation in Section 7 is a trip-value proxy, not a customer profile, and should not be used to target individuals.</w:t>
      </w:r>
    </w:p>
    <w:p>
      <w:pPr>
        <w:pStyle w:val="ListParagraph"/>
        <w:numPr>
          <w:ilvl w:val="0"/>
          <w:numId w:val="2"/>
        </w:numPr>
        <w:spacing w:after="60"/>
      </w:pPr>
      <w:r>
        <w:t xml:space="preserve">The scenario estimates in Section 11 (≈11.3% potential revenue uplift) should be treated as a planning hypothesis to validate with a small pilot (e.g., one weekend of extra driver supply) before committing budget, since they assume constant demand and a clean 1:1 conversion of saved cancellations to completed rides.</w:t>
      </w:r>
    </w:p>
    <w:p>
      <w:pPr>
        <w:pStyle w:val="Heading1"/>
        <w:spacing w:after="150" w:before="300"/>
      </w:pPr>
      <w:r>
        <w:t xml:space="preserve">15. Limitations</w:t>
      </w:r>
    </w:p>
    <w:p>
      <w:pPr>
        <w:pStyle w:val="ListParagraph"/>
        <w:numPr>
          <w:ilvl w:val="0"/>
          <w:numId w:val="2"/>
        </w:numPr>
        <w:spacing w:after="60"/>
      </w:pPr>
      <w:r>
        <w:t xml:space="preserve">No Driver ID: driver performance intelligence and ranking cannot be produced.</w:t>
      </w:r>
    </w:p>
    <w:p>
      <w:pPr>
        <w:pStyle w:val="ListParagraph"/>
        <w:numPr>
          <w:ilvl w:val="0"/>
          <w:numId w:val="2"/>
        </w:numPr>
        <w:spacing w:after="60"/>
      </w:pPr>
      <w:r>
        <w:t xml:space="preserve">No Customer ID: true customer segmentation, repeat-rider analysis, and retention targeting cannot be produced.</w:t>
      </w:r>
    </w:p>
    <w:p>
      <w:pPr>
        <w:pStyle w:val="ListParagraph"/>
        <w:numPr>
          <w:ilvl w:val="0"/>
          <w:numId w:val="2"/>
        </w:numPr>
        <w:spacing w:after="60"/>
      </w:pPr>
      <w:r>
        <w:t xml:space="preserve">No ride-type or distance field: Average Distance and ride-type comparisons are not available.</w:t>
      </w:r>
    </w:p>
    <w:p>
      <w:pPr>
        <w:pStyle w:val="ListParagraph"/>
        <w:numPr>
          <w:ilvl w:val="0"/>
          <w:numId w:val="2"/>
        </w:numPr>
        <w:spacing w:after="60"/>
      </w:pPr>
      <w:r>
        <w:t xml:space="preserve">Date only, no time-of-day: cancellation and demand analysis is limited to the weekday grain, not hourly peak periods.</w:t>
      </w:r>
    </w:p>
    <w:p>
      <w:pPr>
        <w:pStyle w:val="ListParagraph"/>
        <w:numPr>
          <w:ilvl w:val="0"/>
          <w:numId w:val="2"/>
        </w:numPr>
        <w:spacing w:after="60"/>
      </w:pPr>
      <w:r>
        <w:t xml:space="preserve">Single calendar month (Aug 2026): trend analysis is week-over-week, not month-over-month, and any 'trend' should be re-checked once further months are logged.</w:t>
      </w:r>
    </w:p>
    <w:p>
      <w:pPr>
        <w:pStyle w:val="ListParagraph"/>
        <w:numPr>
          <w:ilvl w:val="0"/>
          <w:numId w:val="2"/>
        </w:numPr>
        <w:spacing w:after="60"/>
      </w:pPr>
      <w:r>
        <w:t xml:space="preserve">Small sample (120 rides): location, route, and payment-method splits are directional at this volume and should be revisited as more data accumulates, especially for cells built on fewer than ~10 rides.</w:t>
      </w:r>
    </w:p>
    <w:p>
      <w:pPr>
        <w:pStyle w:val="ListParagraph"/>
        <w:numPr>
          <w:ilvl w:val="0"/>
          <w:numId w:val="2"/>
        </w:numPr>
        <w:spacing w:after="60"/>
      </w:pPr>
      <w:r>
        <w:t xml:space="preserve">No cost data: every revenue figure and scenario estimate in this report is revenue, not profit or margin.</w:t>
      </w:r>
    </w:p>
    <w:p>
      <w:pPr>
        <w:pStyle w:val="Heading1"/>
        <w:spacing w:after="150" w:before="300"/>
      </w:pPr>
      <w:r>
        <w:t xml:space="preserve">16. Week 5 README Section (for GitHub)</w:t>
      </w:r>
    </w:p>
    <w:p>
      <w:pPr>
        <w:spacing w:after="120"/>
      </w:pPr>
      <w:r>
        <w:t xml:space="preserve">Suggested content for the README.md addition under a "## Week 5 — Advanced Business Intelligence" heading:</w:t>
      </w:r>
    </w:p>
    <w:p>
      <w:pPr>
        <w:pStyle w:val="ListParagraph"/>
        <w:numPr>
          <w:ilvl w:val="0"/>
          <w:numId w:val="2"/>
        </w:numPr>
        <w:spacing w:after="60"/>
      </w:pPr>
      <w:r>
        <w:t xml:space="preserve">Model: one fact table (ride log, 120 rows) joined to a dedicated Date Table (Aug 2026) on Date; three calculated columns added (Weekday, Route, Fare Tier).</w:t>
      </w:r>
    </w:p>
    <w:p>
      <w:pPr>
        <w:pStyle w:val="ListParagraph"/>
        <w:numPr>
          <w:ilvl w:val="0"/>
          <w:numId w:val="2"/>
        </w:numPr>
        <w:spacing w:after="60"/>
      </w:pPr>
      <w:r>
        <w:t xml:space="preserve">Major measures: Total Revenue, Completed/Cancelled Rides, Completion/Cancellation Rate, Average Fare, Average Rating, Revenue per Completed Ride, week-over-week revenue change, and location revenue rank/contribution — full DAX in the companion workbook's 'DAX Measures' tab.</w:t>
      </w:r>
    </w:p>
    <w:p>
      <w:pPr>
        <w:pStyle w:val="ListParagraph"/>
        <w:numPr>
          <w:ilvl w:val="0"/>
          <w:numId w:val="2"/>
        </w:numPr>
        <w:spacing w:after="60"/>
      </w:pPr>
      <w:r>
        <w:t xml:space="preserve">Advanced features: drill-through by location, cancellation-rate conditional formatting, a dynamic page title, and revenue/cancellation-view bookmarks (see Section 10 for exact setup).</w:t>
      </w:r>
    </w:p>
    <w:p>
      <w:pPr>
        <w:pStyle w:val="ListParagraph"/>
        <w:numPr>
          <w:ilvl w:val="0"/>
          <w:numId w:val="2"/>
        </w:numPr>
        <w:spacing w:after="60"/>
      </w:pPr>
      <w:r>
        <w:t xml:space="preserve">Insights &amp; recommendations: 10 evidence-based insights and 8 recommendations (5 dataset-supported, 3 requiring more data) — see Sections 13-14 of this report.</w:t>
      </w:r>
    </w:p>
    <w:p>
      <w:pPr>
        <w:pStyle w:val="ListParagraph"/>
        <w:numPr>
          <w:ilvl w:val="0"/>
          <w:numId w:val="2"/>
        </w:numPr>
        <w:spacing w:after="60"/>
      </w:pPr>
      <w:r>
        <w:t xml:space="preserve">Limitations: no Driver ID, no Customer ID, no distance/ride-type field, date-only timestamps, single-month data, small sample size — see Section 15.</w:t>
      </w:r>
    </w:p>
    <w:p>
      <w:pPr>
        <w:pStyle w:val="ListParagraph"/>
        <w:numPr>
          <w:ilvl w:val="0"/>
          <w:numId w:val="2"/>
        </w:numPr>
        <w:spacing w:after="60"/>
      </w:pPr>
      <w:r>
        <w:t xml:space="preserve">Validation: every KPI and segment table was computed twice — once in Excel with SUMIFS/COUNTIFS formulas against the raw data, once in Python/pandas — and the two matched exactly before being written as DAX.</w:t>
      </w:r>
    </w:p>
    <w:p>
      <w:pPr>
        <w:pStyle w:val="Heading1"/>
        <w:spacing w:after="150" w:before="300"/>
      </w:pPr>
      <w:r>
        <w:t xml:space="preserve">17. Deliverables &amp; Submission Checklist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600"/>
        <w:gridCol w:w="4500"/>
      </w:tblGrid>
      <w:tr>
        <w:trPr>
          <w:tblHeader/>
        </w:trPr>
        <w:tc>
          <w:tcPr>
            <w:tcW w:type="dxa" w:w="4600"/>
            <w:shd w:fill="1F4E78" w:val="clear"/>
            <w:tcMar>
              <w:top w:type="dxa" w:w="60"/>
              <w:left w:type="dxa" w:w="80"/>
              <w:bottom w:type="dxa" w:w="60"/>
              <w:right w:type="dxa" w:w="80"/>
            </w:tcMar>
          </w:tcPr>
          <w:p>
            <w:pPr>
              <w:jc w:val="left"/>
            </w:pPr>
            <w:r>
              <w:rPr>
                <w:b/>
                <w:bCs/>
                <w:color w:val="FFFFFF"/>
                <w:sz w:val="20"/>
                <w:szCs w:val="20"/>
              </w:rPr>
              <w:t xml:space="preserve">Checklist item</w:t>
            </w:r>
          </w:p>
        </w:tc>
        <w:tc>
          <w:tcPr>
            <w:tcW w:type="dxa" w:w="4500"/>
            <w:shd w:fill="1F4E78" w:val="clear"/>
            <w:tcMar>
              <w:top w:type="dxa" w:w="60"/>
              <w:left w:type="dxa" w:w="80"/>
              <w:bottom w:type="dxa" w:w="60"/>
              <w:right w:type="dxa" w:w="80"/>
            </w:tcMar>
          </w:tcPr>
          <w:p>
            <w:pPr>
              <w:jc w:val="left"/>
            </w:pPr>
            <w:r>
              <w:rPr>
                <w:b/>
                <w:bCs/>
                <w:color w:val="FFFFFF"/>
                <w:sz w:val="20"/>
                <w:szCs w:val="20"/>
              </w:rPr>
              <w:t xml:space="preserve">Status</w:t>
            </w:r>
          </w:p>
        </w:tc>
      </w:tr>
      <w:tr>
        <w:tc>
          <w:tcPr>
            <w:tcW w:type="dxa" w:w="4600"/>
            <w:tcMar>
              <w:top w:type="dxa" w:w="60"/>
              <w:left w:type="dxa" w:w="80"/>
              <w:bottom w:type="dxa" w:w="60"/>
              <w:right w:type="dxa" w:w="80"/>
            </w:tcMar>
          </w:tcPr>
          <w:p>
            <w:pPr>
              <w:jc w:val="left"/>
            </w:pPr>
            <w:r>
              <w:rPr>
                <w:b w:val="false"/>
                <w:bCs w:val="false"/>
                <w:sz w:val="20"/>
                <w:szCs w:val="20"/>
              </w:rPr>
              <w:t xml:space="preserve">Advanced data model reviewed</w:t>
            </w:r>
          </w:p>
        </w:tc>
        <w:tc>
          <w:tcPr>
            <w:tcW w:type="dxa" w:w="4500"/>
            <w:tcMar>
              <w:top w:type="dxa" w:w="60"/>
              <w:left w:type="dxa" w:w="80"/>
              <w:bottom w:type="dxa" w:w="60"/>
              <w:right w:type="dxa" w:w="80"/>
            </w:tcMar>
          </w:tcPr>
          <w:p>
            <w:pPr>
              <w:jc w:val="left"/>
            </w:pPr>
            <w:r>
              <w:rPr>
                <w:b w:val="false"/>
                <w:bCs w:val="false"/>
                <w:sz w:val="20"/>
                <w:szCs w:val="20"/>
              </w:rPr>
              <w:t xml:space="preserve">Done — Section 3-4</w:t>
            </w:r>
          </w:p>
        </w:tc>
      </w:tr>
      <w:tr>
        <w:tc>
          <w:tcPr>
            <w:tcW w:type="dxa" w:w="4600"/>
            <w:tcMar>
              <w:top w:type="dxa" w:w="60"/>
              <w:left w:type="dxa" w:w="80"/>
              <w:bottom w:type="dxa" w:w="60"/>
              <w:right w:type="dxa" w:w="80"/>
            </w:tcMar>
          </w:tcPr>
          <w:p>
            <w:pPr>
              <w:jc w:val="left"/>
            </w:pPr>
            <w:r>
              <w:rPr>
                <w:b w:val="false"/>
                <w:bCs w:val="false"/>
                <w:sz w:val="20"/>
                <w:szCs w:val="20"/>
              </w:rPr>
              <w:t xml:space="preserve">Date table / time analysis implemented</w:t>
            </w:r>
          </w:p>
        </w:tc>
        <w:tc>
          <w:tcPr>
            <w:tcW w:type="dxa" w:w="4500"/>
            <w:tcMar>
              <w:top w:type="dxa" w:w="60"/>
              <w:left w:type="dxa" w:w="80"/>
              <w:bottom w:type="dxa" w:w="60"/>
              <w:right w:type="dxa" w:w="80"/>
            </w:tcMar>
          </w:tcPr>
          <w:p>
            <w:pPr>
              <w:jc w:val="left"/>
            </w:pPr>
            <w:r>
              <w:rPr>
                <w:b w:val="false"/>
                <w:bCs w:val="false"/>
                <w:sz w:val="20"/>
                <w:szCs w:val="20"/>
              </w:rPr>
              <w:t xml:space="preserve">Done — Date Table + Weekday/Week columns</w:t>
            </w:r>
          </w:p>
        </w:tc>
      </w:tr>
      <w:tr>
        <w:tc>
          <w:tcPr>
            <w:tcW w:type="dxa" w:w="4600"/>
            <w:tcMar>
              <w:top w:type="dxa" w:w="60"/>
              <w:left w:type="dxa" w:w="80"/>
              <w:bottom w:type="dxa" w:w="60"/>
              <w:right w:type="dxa" w:w="80"/>
            </w:tcMar>
          </w:tcPr>
          <w:p>
            <w:pPr>
              <w:jc w:val="left"/>
            </w:pPr>
            <w:r>
              <w:rPr>
                <w:b w:val="false"/>
                <w:bCs w:val="false"/>
                <w:sz w:val="20"/>
                <w:szCs w:val="20"/>
              </w:rPr>
              <w:t xml:space="preserve">Advanced DAX measures created and validated</w:t>
            </w:r>
          </w:p>
        </w:tc>
        <w:tc>
          <w:tcPr>
            <w:tcW w:type="dxa" w:w="4500"/>
            <w:tcMar>
              <w:top w:type="dxa" w:w="60"/>
              <w:left w:type="dxa" w:w="80"/>
              <w:bottom w:type="dxa" w:w="60"/>
              <w:right w:type="dxa" w:w="80"/>
            </w:tcMar>
          </w:tcPr>
          <w:p>
            <w:pPr>
              <w:jc w:val="left"/>
            </w:pPr>
            <w:r>
              <w:rPr>
                <w:b w:val="false"/>
                <w:bCs w:val="false"/>
                <w:sz w:val="20"/>
                <w:szCs w:val="20"/>
              </w:rPr>
              <w:t xml:space="preserve">Done — Section 5, validated in Excel and Python</w:t>
            </w:r>
          </w:p>
        </w:tc>
      </w:tr>
      <w:tr>
        <w:tc>
          <w:tcPr>
            <w:tcW w:type="dxa" w:w="4600"/>
            <w:tcMar>
              <w:top w:type="dxa" w:w="60"/>
              <w:left w:type="dxa" w:w="80"/>
              <w:bottom w:type="dxa" w:w="60"/>
              <w:right w:type="dxa" w:w="80"/>
            </w:tcMar>
          </w:tcPr>
          <w:p>
            <w:pPr>
              <w:jc w:val="left"/>
            </w:pPr>
            <w:r>
              <w:rPr>
                <w:b w:val="false"/>
                <w:bCs w:val="false"/>
                <w:sz w:val="20"/>
                <w:szCs w:val="20"/>
              </w:rPr>
              <w:t xml:space="preserve">Revenue and segmentation completed</w:t>
            </w:r>
          </w:p>
        </w:tc>
        <w:tc>
          <w:tcPr>
            <w:tcW w:type="dxa" w:w="4500"/>
            <w:tcMar>
              <w:top w:type="dxa" w:w="60"/>
              <w:left w:type="dxa" w:w="80"/>
              <w:bottom w:type="dxa" w:w="60"/>
              <w:right w:type="dxa" w:w="80"/>
            </w:tcMar>
          </w:tcPr>
          <w:p>
            <w:pPr>
              <w:jc w:val="left"/>
            </w:pPr>
            <w:r>
              <w:rPr>
                <w:b w:val="false"/>
                <w:bCs w:val="false"/>
                <w:sz w:val="20"/>
                <w:szCs w:val="20"/>
              </w:rPr>
              <w:t xml:space="preserve">Done — Section 6</w:t>
            </w:r>
          </w:p>
        </w:tc>
      </w:tr>
      <w:tr>
        <w:tc>
          <w:tcPr>
            <w:tcW w:type="dxa" w:w="4600"/>
            <w:tcMar>
              <w:top w:type="dxa" w:w="60"/>
              <w:left w:type="dxa" w:w="80"/>
              <w:bottom w:type="dxa" w:w="60"/>
              <w:right w:type="dxa" w:w="80"/>
            </w:tcMar>
          </w:tcPr>
          <w:p>
            <w:pPr>
              <w:jc w:val="left"/>
            </w:pPr>
            <w:r>
              <w:rPr>
                <w:b w:val="false"/>
                <w:bCs w:val="false"/>
                <w:sz w:val="20"/>
                <w:szCs w:val="20"/>
              </w:rPr>
              <w:t xml:space="preserve">Customer segmentation completed</w:t>
            </w:r>
          </w:p>
        </w:tc>
        <w:tc>
          <w:tcPr>
            <w:tcW w:type="dxa" w:w="4500"/>
            <w:tcMar>
              <w:top w:type="dxa" w:w="60"/>
              <w:left w:type="dxa" w:w="80"/>
              <w:bottom w:type="dxa" w:w="60"/>
              <w:right w:type="dxa" w:w="80"/>
            </w:tcMar>
          </w:tcPr>
          <w:p>
            <w:pPr>
              <w:jc w:val="left"/>
            </w:pPr>
            <w:r>
              <w:rPr>
                <w:b w:val="false"/>
                <w:bCs w:val="false"/>
                <w:sz w:val="20"/>
                <w:szCs w:val="20"/>
              </w:rPr>
              <w:t xml:space="preserve">Not possible — no Customer ID (Section 7); fare-tier proxy provided</w:t>
            </w:r>
          </w:p>
        </w:tc>
      </w:tr>
      <w:tr>
        <w:tc>
          <w:tcPr>
            <w:tcW w:type="dxa" w:w="4600"/>
            <w:tcMar>
              <w:top w:type="dxa" w:w="60"/>
              <w:left w:type="dxa" w:w="80"/>
              <w:bottom w:type="dxa" w:w="60"/>
              <w:right w:type="dxa" w:w="80"/>
            </w:tcMar>
          </w:tcPr>
          <w:p>
            <w:pPr>
              <w:jc w:val="left"/>
            </w:pPr>
            <w:r>
              <w:rPr>
                <w:b w:val="false"/>
                <w:bCs w:val="false"/>
                <w:sz w:val="20"/>
                <w:szCs w:val="20"/>
              </w:rPr>
              <w:t xml:space="preserve">Driver performance intelligence completed</w:t>
            </w:r>
          </w:p>
        </w:tc>
        <w:tc>
          <w:tcPr>
            <w:tcW w:type="dxa" w:w="4500"/>
            <w:tcMar>
              <w:top w:type="dxa" w:w="60"/>
              <w:left w:type="dxa" w:w="80"/>
              <w:bottom w:type="dxa" w:w="60"/>
              <w:right w:type="dxa" w:w="80"/>
            </w:tcMar>
          </w:tcPr>
          <w:p>
            <w:pPr>
              <w:jc w:val="left"/>
            </w:pPr>
            <w:r>
              <w:rPr>
                <w:b w:val="false"/>
                <w:bCs w:val="false"/>
                <w:sz w:val="20"/>
                <w:szCs w:val="20"/>
              </w:rPr>
              <w:t xml:space="preserve">Not possible — no Driver ID (Section 8)</w:t>
            </w:r>
          </w:p>
        </w:tc>
      </w:tr>
      <w:tr>
        <w:tc>
          <w:tcPr>
            <w:tcW w:type="dxa" w:w="4600"/>
            <w:tcMar>
              <w:top w:type="dxa" w:w="60"/>
              <w:left w:type="dxa" w:w="80"/>
              <w:bottom w:type="dxa" w:w="60"/>
              <w:right w:type="dxa" w:w="80"/>
            </w:tcMar>
          </w:tcPr>
          <w:p>
            <w:pPr>
              <w:jc w:val="left"/>
            </w:pPr>
            <w:r>
              <w:rPr>
                <w:b w:val="false"/>
                <w:bCs w:val="false"/>
                <w:sz w:val="20"/>
                <w:szCs w:val="20"/>
              </w:rPr>
              <w:t xml:space="preserve">Cancellation analysis completed</w:t>
            </w:r>
          </w:p>
        </w:tc>
        <w:tc>
          <w:tcPr>
            <w:tcW w:type="dxa" w:w="4500"/>
            <w:tcMar>
              <w:top w:type="dxa" w:w="60"/>
              <w:left w:type="dxa" w:w="80"/>
              <w:bottom w:type="dxa" w:w="60"/>
              <w:right w:type="dxa" w:w="80"/>
            </w:tcMar>
          </w:tcPr>
          <w:p>
            <w:pPr>
              <w:jc w:val="left"/>
            </w:pPr>
            <w:r>
              <w:rPr>
                <w:b w:val="false"/>
                <w:bCs w:val="false"/>
                <w:sz w:val="20"/>
                <w:szCs w:val="20"/>
              </w:rPr>
              <w:t xml:space="preserve">Done — Section 9</w:t>
            </w:r>
          </w:p>
        </w:tc>
      </w:tr>
      <w:tr>
        <w:tc>
          <w:tcPr>
            <w:tcW w:type="dxa" w:w="4600"/>
            <w:tcMar>
              <w:top w:type="dxa" w:w="60"/>
              <w:left w:type="dxa" w:w="80"/>
              <w:bottom w:type="dxa" w:w="60"/>
              <w:right w:type="dxa" w:w="80"/>
            </w:tcMar>
          </w:tcPr>
          <w:p>
            <w:pPr>
              <w:jc w:val="left"/>
            </w:pPr>
            <w:r>
              <w:rPr>
                <w:b w:val="false"/>
                <w:bCs w:val="false"/>
                <w:sz w:val="20"/>
                <w:szCs w:val="20"/>
              </w:rPr>
              <w:t xml:space="preserve">Advanced Power BI features added</w:t>
            </w:r>
          </w:p>
        </w:tc>
        <w:tc>
          <w:tcPr>
            <w:tcW w:type="dxa" w:w="4500"/>
            <w:tcMar>
              <w:top w:type="dxa" w:w="60"/>
              <w:left w:type="dxa" w:w="80"/>
              <w:bottom w:type="dxa" w:w="60"/>
              <w:right w:type="dxa" w:w="80"/>
            </w:tcMar>
          </w:tcPr>
          <w:p>
            <w:pPr>
              <w:jc w:val="left"/>
            </w:pPr>
            <w:r>
              <w:rPr>
                <w:b w:val="false"/>
                <w:bCs w:val="false"/>
                <w:sz w:val="20"/>
                <w:szCs w:val="20"/>
              </w:rPr>
              <w:t xml:space="preserve">Implementation guide provided — Section 10 (apply in Power BI Desktop)</w:t>
            </w:r>
          </w:p>
        </w:tc>
      </w:tr>
      <w:tr>
        <w:tc>
          <w:tcPr>
            <w:tcW w:type="dxa" w:w="4600"/>
            <w:tcMar>
              <w:top w:type="dxa" w:w="60"/>
              <w:left w:type="dxa" w:w="80"/>
              <w:bottom w:type="dxa" w:w="60"/>
              <w:right w:type="dxa" w:w="80"/>
            </w:tcMar>
          </w:tcPr>
          <w:p>
            <w:pPr>
              <w:jc w:val="left"/>
            </w:pPr>
            <w:r>
              <w:rPr>
                <w:b w:val="false"/>
                <w:bCs w:val="false"/>
                <w:sz w:val="20"/>
                <w:szCs w:val="20"/>
              </w:rPr>
              <w:t xml:space="preserve">Scenario analysis completed</w:t>
            </w:r>
          </w:p>
        </w:tc>
        <w:tc>
          <w:tcPr>
            <w:tcW w:type="dxa" w:w="4500"/>
            <w:tcMar>
              <w:top w:type="dxa" w:w="60"/>
              <w:left w:type="dxa" w:w="80"/>
              <w:bottom w:type="dxa" w:w="60"/>
              <w:right w:type="dxa" w:w="80"/>
            </w:tcMar>
          </w:tcPr>
          <w:p>
            <w:pPr>
              <w:jc w:val="left"/>
            </w:pPr>
            <w:r>
              <w:rPr>
                <w:b w:val="false"/>
                <w:bCs w:val="false"/>
                <w:sz w:val="20"/>
                <w:szCs w:val="20"/>
              </w:rPr>
              <w:t xml:space="preserve">Done — Section 11</w:t>
            </w:r>
          </w:p>
        </w:tc>
      </w:tr>
      <w:tr>
        <w:tc>
          <w:tcPr>
            <w:tcW w:type="dxa" w:w="4600"/>
            <w:tcMar>
              <w:top w:type="dxa" w:w="60"/>
              <w:left w:type="dxa" w:w="80"/>
              <w:bottom w:type="dxa" w:w="60"/>
              <w:right w:type="dxa" w:w="80"/>
            </w:tcMar>
          </w:tcPr>
          <w:p>
            <w:pPr>
              <w:jc w:val="left"/>
            </w:pPr>
            <w:r>
              <w:rPr>
                <w:b w:val="false"/>
                <w:bCs w:val="false"/>
                <w:sz w:val="20"/>
                <w:szCs w:val="20"/>
              </w:rPr>
              <w:t xml:space="preserve">8+ evidence-based insights</w:t>
            </w:r>
          </w:p>
        </w:tc>
        <w:tc>
          <w:tcPr>
            <w:tcW w:type="dxa" w:w="4500"/>
            <w:tcMar>
              <w:top w:type="dxa" w:w="60"/>
              <w:left w:type="dxa" w:w="80"/>
              <w:bottom w:type="dxa" w:w="60"/>
              <w:right w:type="dxa" w:w="80"/>
            </w:tcMar>
          </w:tcPr>
          <w:p>
            <w:pPr>
              <w:jc w:val="left"/>
            </w:pPr>
            <w:r>
              <w:rPr>
                <w:b w:val="false"/>
                <w:bCs w:val="false"/>
                <w:sz w:val="20"/>
                <w:szCs w:val="20"/>
              </w:rPr>
              <w:t xml:space="preserve">Done — 10 insights, Section 13</w:t>
            </w:r>
          </w:p>
        </w:tc>
      </w:tr>
      <w:tr>
        <w:tc>
          <w:tcPr>
            <w:tcW w:type="dxa" w:w="4600"/>
            <w:tcMar>
              <w:top w:type="dxa" w:w="60"/>
              <w:left w:type="dxa" w:w="80"/>
              <w:bottom w:type="dxa" w:w="60"/>
              <w:right w:type="dxa" w:w="80"/>
            </w:tcMar>
          </w:tcPr>
          <w:p>
            <w:pPr>
              <w:jc w:val="left"/>
            </w:pPr>
            <w:r>
              <w:rPr>
                <w:b w:val="false"/>
                <w:bCs w:val="false"/>
                <w:sz w:val="20"/>
                <w:szCs w:val="20"/>
              </w:rPr>
              <w:t xml:space="preserve">5+ recommendations</w:t>
            </w:r>
          </w:p>
        </w:tc>
        <w:tc>
          <w:tcPr>
            <w:tcW w:type="dxa" w:w="4500"/>
            <w:tcMar>
              <w:top w:type="dxa" w:w="60"/>
              <w:left w:type="dxa" w:w="80"/>
              <w:bottom w:type="dxa" w:w="60"/>
              <w:right w:type="dxa" w:w="80"/>
            </w:tcMar>
          </w:tcPr>
          <w:p>
            <w:pPr>
              <w:jc w:val="left"/>
            </w:pPr>
            <w:r>
              <w:rPr>
                <w:b w:val="false"/>
                <w:bCs w:val="false"/>
                <w:sz w:val="20"/>
                <w:szCs w:val="20"/>
              </w:rPr>
              <w:t xml:space="preserve">Done — 5 dataset-supported + 3 needing more data, Section 14</w:t>
            </w:r>
          </w:p>
        </w:tc>
      </w:tr>
      <w:tr>
        <w:tc>
          <w:tcPr>
            <w:tcW w:type="dxa" w:w="4600"/>
            <w:tcMar>
              <w:top w:type="dxa" w:w="60"/>
              <w:left w:type="dxa" w:w="80"/>
              <w:bottom w:type="dxa" w:w="60"/>
              <w:right w:type="dxa" w:w="80"/>
            </w:tcMar>
          </w:tcPr>
          <w:p>
            <w:pPr>
              <w:jc w:val="left"/>
            </w:pPr>
            <w:r>
              <w:rPr>
                <w:b w:val="false"/>
                <w:bCs w:val="false"/>
                <w:sz w:val="20"/>
                <w:szCs w:val="20"/>
              </w:rPr>
              <w:t xml:space="preserve">Limitations documented</w:t>
            </w:r>
          </w:p>
        </w:tc>
        <w:tc>
          <w:tcPr>
            <w:tcW w:type="dxa" w:w="4500"/>
            <w:tcMar>
              <w:top w:type="dxa" w:w="60"/>
              <w:left w:type="dxa" w:w="80"/>
              <w:bottom w:type="dxa" w:w="60"/>
              <w:right w:type="dxa" w:w="80"/>
            </w:tcMar>
          </w:tcPr>
          <w:p>
            <w:pPr>
              <w:jc w:val="left"/>
            </w:pPr>
            <w:r>
              <w:rPr>
                <w:b w:val="false"/>
                <w:bCs w:val="false"/>
                <w:sz w:val="20"/>
                <w:szCs w:val="20"/>
              </w:rPr>
              <w:t xml:space="preserve">Done — Section 15</w:t>
            </w:r>
          </w:p>
        </w:tc>
      </w:tr>
      <w:tr>
        <w:tc>
          <w:tcPr>
            <w:tcW w:type="dxa" w:w="4600"/>
            <w:tcMar>
              <w:top w:type="dxa" w:w="60"/>
              <w:left w:type="dxa" w:w="80"/>
              <w:bottom w:type="dxa" w:w="60"/>
              <w:right w:type="dxa" w:w="80"/>
            </w:tcMar>
          </w:tcPr>
          <w:p>
            <w:pPr>
              <w:jc w:val="left"/>
            </w:pPr>
            <w:r>
              <w:rPr>
                <w:b w:val="false"/>
                <w:bCs w:val="false"/>
                <w:sz w:val="20"/>
                <w:szCs w:val="20"/>
              </w:rPr>
              <w:t xml:space="preserve">GitHub and README updated</w:t>
            </w:r>
          </w:p>
        </w:tc>
        <w:tc>
          <w:tcPr>
            <w:tcW w:type="dxa" w:w="4500"/>
            <w:tcMar>
              <w:top w:type="dxa" w:w="60"/>
              <w:left w:type="dxa" w:w="80"/>
              <w:bottom w:type="dxa" w:w="60"/>
              <w:right w:type="dxa" w:w="80"/>
            </w:tcMar>
          </w:tcPr>
          <w:p>
            <w:pPr>
              <w:jc w:val="left"/>
            </w:pPr>
            <w:r>
              <w:rPr>
                <w:b w:val="false"/>
                <w:bCs w:val="false"/>
                <w:sz w:val="20"/>
                <w:szCs w:val="20"/>
              </w:rPr>
              <w:t xml:space="preserve">README content drafted — Section 16; push is a manual step</w:t>
            </w:r>
          </w:p>
        </w:tc>
      </w:tr>
    </w:tbl>
    <w:p>
      <w:pPr>
        <w:spacing w:after="120"/>
      </w:pPr>
      <w:r>
        <w:t xml:space="preserve"/>
      </w:r>
    </w:p>
    <w:p>
      <w:pPr>
        <w:spacing w:after="120"/>
      </w:pPr>
      <w:r>
        <w:rPr>
          <w:i/>
          <w:iCs/>
        </w:rPr>
        <w:t xml:space="preserve">Companion file: ZYROO_Week5_Advanced_Analytics.xlsx — contains Raw Data, Date Table, KPI Summary, Weekday Analysis, Weekly Trend, Location Analysis, Route Analysis, Payment Method, Fare Segment Analysis, Scenario Analysis, and the full DAX Measure library, all formula-driven so it recalculates if the underlying ride log changes.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2026-09-26T16:03:31.916Z</dcterms:created>
  <dcterms:modified xsi:type="dcterms:W3CDTF">2026-09-26T16:03:31.925Z</dcterms:modified>
</cp:coreProperties>
</file>

<file path=docProps/custom.xml><?xml version="1.0" encoding="utf-8"?>
<Properties xmlns="http://schemas.openxmlformats.org/officeDocument/2006/custom-properties" xmlns:vt="http://schemas.openxmlformats.org/officeDocument/2006/docPropsVTypes"/>
</file>