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A874" w14:textId="77777777" w:rsidR="009C1487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>What Really Drives U.S. Industrial GHG Emissions?</w:t>
      </w:r>
    </w:p>
    <w:p w14:paraId="759F1D63" w14:textId="77777777" w:rsidR="009C1487" w:rsidRDefault="00000000">
      <w:pPr>
        <w:spacing w:after="80"/>
      </w:pPr>
      <w:r>
        <w:rPr>
          <w:i/>
          <w:iCs/>
          <w:color w:val="4472C4"/>
          <w:sz w:val="24"/>
          <w:szCs w:val="24"/>
        </w:rPr>
        <w:t>A four-stage analysis: structural change vs. atmospheric forcing</w:t>
      </w:r>
    </w:p>
    <w:p w14:paraId="74376875" w14:textId="6D9CD87A" w:rsidR="009C1487" w:rsidRDefault="00000000">
      <w:pPr>
        <w:spacing w:after="360"/>
      </w:pPr>
      <w:r>
        <w:rPr>
          <w:color w:val="595959"/>
          <w:sz w:val="20"/>
          <w:szCs w:val="20"/>
        </w:rPr>
        <w:t xml:space="preserve">Suhail Mahmud, </w:t>
      </w:r>
      <w:proofErr w:type="gramStart"/>
      <w:r>
        <w:rPr>
          <w:color w:val="595959"/>
          <w:sz w:val="20"/>
          <w:szCs w:val="20"/>
        </w:rPr>
        <w:t>PhD  |</w:t>
      </w:r>
      <w:proofErr w:type="gramEnd"/>
      <w:r>
        <w:rPr>
          <w:color w:val="595959"/>
          <w:sz w:val="20"/>
          <w:szCs w:val="20"/>
        </w:rPr>
        <w:t xml:space="preserve">  EPA GHGRP (2010–2023) · ERA5 Reanalysis · </w:t>
      </w:r>
      <w:proofErr w:type="gramStart"/>
      <w:r>
        <w:rPr>
          <w:color w:val="595959"/>
          <w:sz w:val="20"/>
          <w:szCs w:val="20"/>
        </w:rPr>
        <w:t>OWID  |</w:t>
      </w:r>
      <w:proofErr w:type="gramEnd"/>
      <w:r>
        <w:rPr>
          <w:color w:val="595959"/>
          <w:sz w:val="20"/>
          <w:szCs w:val="20"/>
        </w:rPr>
        <w:t xml:space="preserve">  </w:t>
      </w:r>
    </w:p>
    <w:p w14:paraId="0CAF3656" w14:textId="77777777" w:rsidR="009C1487" w:rsidRDefault="00000000">
      <w:pPr>
        <w:pStyle w:val="Heading1"/>
      </w:pPr>
      <w:r>
        <w:t>Problem Statement</w:t>
      </w:r>
    </w:p>
    <w:p w14:paraId="38C42F06" w14:textId="77777777" w:rsidR="009C1487" w:rsidRDefault="00000000">
      <w:pPr>
        <w:spacing w:after="160"/>
      </w:pPr>
      <w:r>
        <w:t>Do atmospheric boundary-layer conditions drive year-to-year U.S. industrial greenhouse gas emissions, or is the observed trend structural? And does adding climate features improve predictive models of facility-level emissions? These questions matter. The EPA Greenhouse Gas Reporting Program (GHGRP) covers roughly half of U.S. emissions from large facilities, and separating weather-driven variability from policy- and technology-driven decarbonization is central to forecasting, transition-risk modeling, and regulatory targeting.</w:t>
      </w:r>
    </w:p>
    <w:p w14:paraId="594CD258" w14:textId="77777777" w:rsidR="009C1487" w:rsidRDefault="00000000">
      <w:pPr>
        <w:pStyle w:val="Heading1"/>
      </w:pPr>
      <w:r>
        <w:t>Approach</w:t>
      </w:r>
    </w:p>
    <w:p w14:paraId="732E59A6" w14:textId="77777777" w:rsidR="009C1487" w:rsidRDefault="00000000">
      <w:pPr>
        <w:spacing w:after="160"/>
      </w:pPr>
      <w:r>
        <w:t xml:space="preserve">Three real datasets were assembled and aligned on year (2010–2023). </w:t>
      </w:r>
      <w:r>
        <w:rPr>
          <w:b/>
          <w:bCs/>
        </w:rPr>
        <w:t xml:space="preserve">EPA GHGRP </w:t>
      </w:r>
      <w:r>
        <w:t xml:space="preserve">facility-level direct emissions were parsed from EPA’s official Data Summary Spreadsheets, summing all six direct-emitter categories; national totals validate to within 0.05% of EPA’s 2023 headline (2,579 vs. 2,580 </w:t>
      </w:r>
      <w:proofErr w:type="spellStart"/>
      <w:r>
        <w:t>MMt</w:t>
      </w:r>
      <w:proofErr w:type="spellEnd"/>
      <w:r>
        <w:t xml:space="preserve"> </w:t>
      </w:r>
      <w:proofErr w:type="spellStart"/>
      <w:r>
        <w:t>CO₂e</w:t>
      </w:r>
      <w:proofErr w:type="spellEnd"/>
      <w:r>
        <w:t xml:space="preserve">). </w:t>
      </w:r>
      <w:r>
        <w:rPr>
          <w:b/>
          <w:bCs/>
        </w:rPr>
        <w:t xml:space="preserve">ERA5 reanalysis </w:t>
      </w:r>
      <w:r>
        <w:t xml:space="preserve">(ECMWF, monthly CONUS, from a 168-month GRIB file) supplied seven atmospheric variables — temperature, dewpoint-derived VPD, RH, wind, surface pressure, SST, and precipitation. </w:t>
      </w:r>
      <w:r>
        <w:rPr>
          <w:b/>
          <w:bCs/>
        </w:rPr>
        <w:t xml:space="preserve">OWID / Global Carbon Project </w:t>
      </w:r>
      <w:r>
        <w:t>provided national CO₂ and total-GHG context.</w:t>
      </w:r>
    </w:p>
    <w:p w14:paraId="543233C8" w14:textId="77777777" w:rsidR="009C1487" w:rsidRDefault="009C1487">
      <w:pPr>
        <w:spacing w:after="100"/>
      </w:pPr>
    </w:p>
    <w:p w14:paraId="24F970E0" w14:textId="77777777" w:rsidR="009C1487" w:rsidRDefault="00000000">
      <w:pPr>
        <w:spacing w:after="160"/>
      </w:pPr>
      <w:r>
        <w:t>Four stages of progressively stronger analysis were applied:</w:t>
      </w:r>
    </w:p>
    <w:p w14:paraId="106C0676" w14:textId="77777777" w:rsidR="009C14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(1) National trend tests</w:t>
      </w:r>
      <w:r>
        <w:t xml:space="preserve"> — Spearman, linear, ADF stationarity, </w:t>
      </w:r>
      <w:proofErr w:type="gramStart"/>
      <w:r>
        <w:t>ARIMA(</w:t>
      </w:r>
      <w:proofErr w:type="gramEnd"/>
      <w:r>
        <w:t>1,1,1) forecast.</w:t>
      </w:r>
    </w:p>
    <w:p w14:paraId="1B40A27A" w14:textId="77777777" w:rsidR="009C14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(2) National atmospheric regression</w:t>
      </w:r>
      <w:r>
        <w:t xml:space="preserve"> — OLS on all seven ERA5 variables, with leave-one-out cross-validation.</w:t>
      </w:r>
    </w:p>
    <w:p w14:paraId="19A5F259" w14:textId="77777777" w:rsidR="009C14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(3) Facility-year fixed-effects panel</w:t>
      </w:r>
      <w:r>
        <w:t xml:space="preserve"> — 85,967 observations across 8,560 facilities, two-way FE removing time-invariant location confounding, SEs clustered by facility.</w:t>
      </w:r>
    </w:p>
    <w:p w14:paraId="0E4EF383" w14:textId="77777777" w:rsidR="009C148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(4) Predictive ML</w:t>
      </w:r>
      <w:r>
        <w:t xml:space="preserve"> — staged gradient-boosting models with leakage-aware temporal split (train ≤2021, test 2023), measuring climate’s marginal value via block-wise permutation importance.</w:t>
      </w:r>
    </w:p>
    <w:p w14:paraId="05E09E64" w14:textId="77777777" w:rsidR="009C1487" w:rsidRDefault="00000000">
      <w:pPr>
        <w:pStyle w:val="Heading1"/>
      </w:pPr>
      <w:r>
        <w:t>Key Findings</w:t>
      </w:r>
    </w:p>
    <w:p w14:paraId="152925D7" w14:textId="77777777" w:rsidR="009C1487" w:rsidRDefault="00000000">
      <w:pPr>
        <w:pStyle w:val="Heading2"/>
      </w:pPr>
      <w:r>
        <w:t>1. Emissions fell 22% and the decline is structural</w:t>
      </w:r>
    </w:p>
    <w:p w14:paraId="669D75D4" w14:textId="77777777" w:rsidR="009C1487" w:rsidRDefault="00000000">
      <w:pPr>
        <w:spacing w:after="160"/>
      </w:pPr>
      <w:r>
        <w:t xml:space="preserve">GHGRP direct emissions dropped from a 2011 peak of 3,318 </w:t>
      </w:r>
      <w:proofErr w:type="spellStart"/>
      <w:r>
        <w:t>MMt</w:t>
      </w:r>
      <w:proofErr w:type="spellEnd"/>
      <w:r>
        <w:t xml:space="preserve"> </w:t>
      </w:r>
      <w:proofErr w:type="spellStart"/>
      <w:r>
        <w:t>CO₂e</w:t>
      </w:r>
      <w:proofErr w:type="spellEnd"/>
      <w:r>
        <w:t xml:space="preserve"> to 2,579 </w:t>
      </w:r>
      <w:proofErr w:type="spellStart"/>
      <w:r>
        <w:t>MMt</w:t>
      </w:r>
      <w:proofErr w:type="spellEnd"/>
      <w:r>
        <w:t xml:space="preserve"> in 2023 (−740 </w:t>
      </w:r>
      <w:proofErr w:type="spellStart"/>
      <w:r>
        <w:t>MMt</w:t>
      </w:r>
      <w:proofErr w:type="spellEnd"/>
      <w:r>
        <w:t xml:space="preserve">; Spearman ρ = −0.93, p &lt; 0.0001; linear trend −54.9 </w:t>
      </w:r>
      <w:proofErr w:type="spellStart"/>
      <w:r>
        <w:t>MMt</w:t>
      </w:r>
      <w:proofErr w:type="spellEnd"/>
      <w:r>
        <w:t xml:space="preserve">/yr, R² = 0.90). Power plants drove essentially the entire reduction (−34.5%, ≈758 </w:t>
      </w:r>
      <w:proofErr w:type="spellStart"/>
      <w:r>
        <w:t>MMt</w:t>
      </w:r>
      <w:proofErr w:type="spellEnd"/>
      <w:r>
        <w:t>) — the coal-to-gas-and-renewables transition. The only major sector that grew was Petroleum and Natural Gas Systems (+9.5%).</w:t>
      </w:r>
    </w:p>
    <w:p w14:paraId="41BE4638" w14:textId="77777777" w:rsidR="009C1487" w:rsidRDefault="00000000">
      <w:pPr>
        <w:pStyle w:val="Heading2"/>
      </w:pPr>
      <w:r>
        <w:lastRenderedPageBreak/>
        <w:t>2. The national atmospheric model has no out-of-sample skill</w:t>
      </w:r>
    </w:p>
    <w:p w14:paraId="3B98A404" w14:textId="77777777" w:rsidR="009C1487" w:rsidRDefault="00000000">
      <w:pPr>
        <w:spacing w:after="160"/>
      </w:pPr>
      <w:r>
        <w:t xml:space="preserve">Across all seven ERA5 variables, not one is statistically significant at p &lt; 0.05. The multivariate model achieves R² = 0.38 in-sample but leave-one-out R² = −4.67 — worse than simply predicting the mean. Severe multicollinearity explains this: RH and </w:t>
      </w:r>
      <w:proofErr w:type="spellStart"/>
      <w:r>
        <w:t>Precip</w:t>
      </w:r>
      <w:proofErr w:type="spellEnd"/>
      <w:r>
        <w:t xml:space="preserve"> correlate at r = +0.88, VPD and RH at r = −0.70, Temp and SST at r = +0.56. Adding more atmospheric features hurts rather than helps.</w:t>
      </w:r>
    </w:p>
    <w:p w14:paraId="69D906D7" w14:textId="77777777" w:rsidR="009C1487" w:rsidRDefault="00000000">
      <w:pPr>
        <w:pStyle w:val="Heading2"/>
      </w:pPr>
      <w:r>
        <w:t>3. Facility fixed effects strip out spatial confounding; one real signal survives</w:t>
      </w:r>
    </w:p>
    <w:p w14:paraId="45E85AB2" w14:textId="77777777" w:rsidR="009C1487" w:rsidRDefault="00000000">
      <w:pPr>
        <w:spacing w:after="160"/>
      </w:pPr>
      <w:r>
        <w:t>In the two-way FE panel (facility + year effects, clustered SEs), the cross-sectional oil &amp; gas “VPD effect” collapses from +0.15 to −0.01 (p = 0.47) — it was Permian Basin geography, not weather sensitivity. The one signal that holds up is power-plant summer temperature: β = +0.111 standardized (p = 0.0003), roughly +7.5% emissions per +1°C within-facility, which is plausibly a cooling-driven dispatch response. Within-R² is only 0.5%, though, because each plant’s summer temperature varies little year-to-year (median SD 0.78°C).</w:t>
      </w:r>
    </w:p>
    <w:p w14:paraId="7DEC2A6A" w14:textId="77777777" w:rsidR="009C1487" w:rsidRDefault="00000000">
      <w:pPr>
        <w:pStyle w:val="Heading2"/>
      </w:pPr>
      <w:r>
        <w:t>4. Predictive ML confirms that climate adds nothing</w:t>
      </w:r>
    </w:p>
    <w:p w14:paraId="682416D9" w14:textId="77777777" w:rsidR="009C1487" w:rsidRDefault="00000000">
      <w:pPr>
        <w:spacing w:after="160"/>
      </w:pPr>
      <w:r>
        <w:t xml:space="preserve">A gradient-boosting model using industry classification + state + geography reaches test R² = 0.37 on the 2023 hold-out; adding climate lowers R² by 0.003. Including lagged emissions raises R² to 0.88; adding climate lowers it by another 0.001. Block-wise permutation importance puts industry classification at 0.51, geography at 0.20, and climate at 0.04 — but 0.035 of that climate score is surface pressure, which is really an elevation/geography proxy (Wyoming 818 </w:t>
      </w:r>
      <w:proofErr w:type="spellStart"/>
      <w:r>
        <w:t>hPa</w:t>
      </w:r>
      <w:proofErr w:type="spellEnd"/>
      <w:r>
        <w:t xml:space="preserve"> vs. coastal Florida 1014 </w:t>
      </w:r>
      <w:proofErr w:type="spellStart"/>
      <w:r>
        <w:t>hPa</w:t>
      </w:r>
      <w:proofErr w:type="spellEnd"/>
      <w:r>
        <w:t>). Real weather variables — temperature, VPD, RH, wind — each contribute less than 0.004.</w:t>
      </w:r>
    </w:p>
    <w:p w14:paraId="4B8D63B7" w14:textId="77777777" w:rsidR="009C1487" w:rsidRDefault="009C1487">
      <w:pPr>
        <w:spacing w:after="80"/>
      </w:pPr>
    </w:p>
    <w:p w14:paraId="0A373801" w14:textId="77777777" w:rsidR="009C1487" w:rsidRDefault="00000000">
      <w:pPr>
        <w:spacing w:after="160"/>
      </w:pPr>
      <w:r>
        <w:rPr>
          <w:i/>
          <w:iCs/>
        </w:rPr>
        <w:t>The conclusion holds at every level of rigor:</w:t>
      </w:r>
    </w:p>
    <w:p w14:paraId="036C2DA6" w14:textId="77777777" w:rsidR="009C1487" w:rsidRDefault="009C148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700"/>
        <w:gridCol w:w="2760"/>
      </w:tblGrid>
      <w:tr w:rsidR="009C1487" w14:paraId="1DE35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DE04" w14:textId="77777777" w:rsidR="009C1487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3FCF" w14:textId="77777777" w:rsidR="009C1487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A171" w14:textId="77777777" w:rsidR="009C1487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6390" w14:textId="77777777" w:rsidR="009C1487" w:rsidRDefault="00000000">
            <w:r>
              <w:rPr>
                <w:b/>
                <w:bCs/>
                <w:color w:val="FFFFFF"/>
                <w:sz w:val="18"/>
                <w:szCs w:val="18"/>
              </w:rPr>
              <w:t>Climate role</w:t>
            </w:r>
          </w:p>
        </w:tc>
      </w:tr>
      <w:tr w:rsidR="009C1487" w14:paraId="2CC238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8D98" w14:textId="77777777" w:rsidR="009C1487" w:rsidRDefault="00000000">
            <w:r>
              <w:rPr>
                <w:color w:val="000000"/>
                <w:sz w:val="18"/>
                <w:szCs w:val="18"/>
              </w:rPr>
              <w:t>1. National trend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C959" w14:textId="77777777" w:rsidR="009C1487" w:rsidRDefault="00000000">
            <w:r>
              <w:rPr>
                <w:color w:val="000000"/>
                <w:sz w:val="18"/>
                <w:szCs w:val="18"/>
              </w:rPr>
              <w:t>Spearman, linear, ADF, ARIMA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3FF5" w14:textId="77777777" w:rsidR="009C1487" w:rsidRDefault="00000000">
            <w:r>
              <w:rPr>
                <w:color w:val="000000"/>
                <w:sz w:val="18"/>
                <w:szCs w:val="18"/>
              </w:rPr>
              <w:t xml:space="preserve">ρ=−0.93, p&lt;0.0001, −740 </w:t>
            </w:r>
            <w:proofErr w:type="spellStart"/>
            <w:r>
              <w:rPr>
                <w:color w:val="000000"/>
                <w:sz w:val="18"/>
                <w:szCs w:val="18"/>
              </w:rPr>
              <w:t>MMt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981C" w14:textId="77777777" w:rsidR="009C1487" w:rsidRDefault="00000000">
            <w:r>
              <w:rPr>
                <w:color w:val="000000"/>
                <w:sz w:val="18"/>
                <w:szCs w:val="18"/>
              </w:rPr>
              <w:t>Structural</w:t>
            </w:r>
          </w:p>
        </w:tc>
      </w:tr>
      <w:tr w:rsidR="009C1487" w14:paraId="2F1323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2C8D" w14:textId="77777777" w:rsidR="009C1487" w:rsidRDefault="00000000">
            <w:r>
              <w:rPr>
                <w:color w:val="000000"/>
                <w:sz w:val="18"/>
                <w:szCs w:val="18"/>
              </w:rPr>
              <w:t>2. Atmospheric OLS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E0F5" w14:textId="77777777" w:rsidR="009C1487" w:rsidRDefault="00000000">
            <w:r>
              <w:rPr>
                <w:color w:val="000000"/>
                <w:sz w:val="18"/>
                <w:szCs w:val="18"/>
              </w:rPr>
              <w:t>7 ERA5 vars, LOO-CV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F8A3" w14:textId="77777777" w:rsidR="009C1487" w:rsidRDefault="00000000">
            <w:r>
              <w:rPr>
                <w:color w:val="000000"/>
                <w:sz w:val="18"/>
                <w:szCs w:val="18"/>
              </w:rPr>
              <w:t>In-sample R²=0.38, LOO R²=−4.67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52B1" w14:textId="77777777" w:rsidR="009C1487" w:rsidRDefault="00000000">
            <w:r>
              <w:rPr>
                <w:color w:val="000000"/>
                <w:sz w:val="18"/>
                <w:szCs w:val="18"/>
              </w:rPr>
              <w:t>No skill</w:t>
            </w:r>
          </w:p>
        </w:tc>
      </w:tr>
      <w:tr w:rsidR="009C1487" w14:paraId="37F7D7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44E9" w14:textId="77777777" w:rsidR="009C1487" w:rsidRDefault="00000000">
            <w:r>
              <w:rPr>
                <w:color w:val="000000"/>
                <w:sz w:val="18"/>
                <w:szCs w:val="18"/>
              </w:rPr>
              <w:t>3. Panel FE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556B" w14:textId="77777777" w:rsidR="009C1487" w:rsidRDefault="00000000">
            <w:proofErr w:type="spellStart"/>
            <w:r>
              <w:rPr>
                <w:color w:val="000000"/>
                <w:sz w:val="18"/>
                <w:szCs w:val="18"/>
              </w:rPr>
              <w:t>Facility+Year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FE, clustered 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BB3E" w14:textId="77777777" w:rsidR="009C1487" w:rsidRDefault="00000000">
            <w:r>
              <w:rPr>
                <w:color w:val="000000"/>
                <w:sz w:val="18"/>
                <w:szCs w:val="18"/>
              </w:rPr>
              <w:t>PP-temp β=+0.111 (p=0.0003)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1D68" w14:textId="77777777" w:rsidR="009C1487" w:rsidRDefault="00000000">
            <w:r>
              <w:rPr>
                <w:color w:val="000000"/>
                <w:sz w:val="18"/>
                <w:szCs w:val="18"/>
              </w:rPr>
              <w:t>0.5% within-R²</w:t>
            </w:r>
          </w:p>
        </w:tc>
      </w:tr>
      <w:tr w:rsidR="009C1487" w14:paraId="016B53E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B71D" w14:textId="77777777" w:rsidR="009C1487" w:rsidRDefault="00000000">
            <w:r>
              <w:rPr>
                <w:color w:val="000000"/>
                <w:sz w:val="18"/>
                <w:szCs w:val="18"/>
              </w:rPr>
              <w:t>4. Predictive 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A97A" w14:textId="77777777" w:rsidR="009C1487" w:rsidRDefault="00000000">
            <w:r>
              <w:rPr>
                <w:color w:val="000000"/>
                <w:sz w:val="18"/>
                <w:szCs w:val="18"/>
              </w:rPr>
              <w:t>GBM, temporal split, perm. importance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9446" w14:textId="77777777" w:rsidR="009C1487" w:rsidRDefault="00000000">
            <w:r>
              <w:rPr>
                <w:color w:val="000000"/>
                <w:sz w:val="18"/>
                <w:szCs w:val="18"/>
              </w:rPr>
              <w:t>Structural R²=0.88; +climate Δ=−0.001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AEF" w14:textId="77777777" w:rsidR="009C1487" w:rsidRDefault="00000000">
            <w:r>
              <w:rPr>
                <w:color w:val="000000"/>
                <w:sz w:val="18"/>
                <w:szCs w:val="18"/>
              </w:rPr>
              <w:t>Noise</w:t>
            </w:r>
          </w:p>
        </w:tc>
      </w:tr>
    </w:tbl>
    <w:p w14:paraId="0D7FBAE3" w14:textId="77777777" w:rsidR="009C1487" w:rsidRDefault="009C1487">
      <w:pPr>
        <w:spacing w:after="240"/>
      </w:pPr>
    </w:p>
    <w:p w14:paraId="78315FBE" w14:textId="77777777" w:rsidR="009C1487" w:rsidRDefault="00000000">
      <w:pPr>
        <w:pStyle w:val="Heading1"/>
      </w:pPr>
      <w:r>
        <w:t>Limitations and Next Steps</w:t>
      </w:r>
    </w:p>
    <w:p w14:paraId="1932FA18" w14:textId="77777777" w:rsidR="009C148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Annual resolution </w:t>
      </w:r>
      <w:r>
        <w:t>cannot capture acute heat-wave dispatch responses. Sub-annual data (EIA-923 hourly generation) would be a more direct test of the power-plant cooling-demand effect.</w:t>
      </w:r>
    </w:p>
    <w:p w14:paraId="53B12264" w14:textId="77777777" w:rsidR="009C148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Specification sensitivity: </w:t>
      </w:r>
      <w:r>
        <w:t>the power-plant temperature effect is strong with facility + year FE (β=+0.031/°C, p=0.0005) but weakens to non-significance with facility FE alone (p=0.54). This is treated as suggestive evidence rather than a settled finding.</w:t>
      </w:r>
    </w:p>
    <w:p w14:paraId="4D812E98" w14:textId="77777777" w:rsidR="009C148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Scope: </w:t>
      </w:r>
      <w:r>
        <w:t>GHGRP direct emitters represent roughly half of U.S. emissions. Transportation, agriculture, and most buildings are excluded. These findings apply to industrial point sources, not the full national inventory.</w:t>
      </w:r>
    </w:p>
    <w:p w14:paraId="6FE55602" w14:textId="77777777" w:rsidR="009C148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Lagged-emissions dominance </w:t>
      </w:r>
      <w:r>
        <w:t>means the 0.88-R² ML model is largely autoregressive. Forecasting structural change — plant retirements, fuel switching — would require exogenous economic and policy inputs (fuel prices, RPS stringency, capacity additions), which the evidence suggests matter far more than climate.</w:t>
      </w:r>
    </w:p>
    <w:p w14:paraId="4C216DEE" w14:textId="77777777" w:rsidR="009C148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Recommended extension: </w:t>
      </w:r>
      <w:r>
        <w:t>swap the climate feature block for an economic/energy block (Henry Hub gas price, state RPS, capacity additions) and re-run the staged ML experiment. Based on what the data show, those features should add the predictive value that climate does not.</w:t>
      </w:r>
    </w:p>
    <w:p w14:paraId="3983302F" w14:textId="77777777" w:rsidR="009C1487" w:rsidRDefault="009C1487">
      <w:pPr>
        <w:spacing w:after="200"/>
      </w:pPr>
    </w:p>
    <w:p w14:paraId="63A0166B" w14:textId="1B6424B5" w:rsidR="009C1487" w:rsidRDefault="009C1487">
      <w:pPr>
        <w:spacing w:before="80"/>
      </w:pPr>
    </w:p>
    <w:sectPr w:rsidR="009C14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E18F4"/>
    <w:multiLevelType w:val="hybridMultilevel"/>
    <w:tmpl w:val="DB8E6A00"/>
    <w:lvl w:ilvl="0" w:tplc="0DEECAFC">
      <w:start w:val="1"/>
      <w:numFmt w:val="bullet"/>
      <w:lvlText w:val="•"/>
      <w:lvlJc w:val="left"/>
      <w:pPr>
        <w:ind w:left="720" w:hanging="360"/>
      </w:pPr>
    </w:lvl>
    <w:lvl w:ilvl="1" w:tplc="CC26421A">
      <w:numFmt w:val="decimal"/>
      <w:lvlText w:val=""/>
      <w:lvlJc w:val="left"/>
    </w:lvl>
    <w:lvl w:ilvl="2" w:tplc="32CAC690">
      <w:numFmt w:val="decimal"/>
      <w:lvlText w:val=""/>
      <w:lvlJc w:val="left"/>
    </w:lvl>
    <w:lvl w:ilvl="3" w:tplc="3C3AE5AE">
      <w:numFmt w:val="decimal"/>
      <w:lvlText w:val=""/>
      <w:lvlJc w:val="left"/>
    </w:lvl>
    <w:lvl w:ilvl="4" w:tplc="EC20137C">
      <w:numFmt w:val="decimal"/>
      <w:lvlText w:val=""/>
      <w:lvlJc w:val="left"/>
    </w:lvl>
    <w:lvl w:ilvl="5" w:tplc="BC70B4BC">
      <w:numFmt w:val="decimal"/>
      <w:lvlText w:val=""/>
      <w:lvlJc w:val="left"/>
    </w:lvl>
    <w:lvl w:ilvl="6" w:tplc="0720A474">
      <w:numFmt w:val="decimal"/>
      <w:lvlText w:val=""/>
      <w:lvlJc w:val="left"/>
    </w:lvl>
    <w:lvl w:ilvl="7" w:tplc="628CFE3C">
      <w:numFmt w:val="decimal"/>
      <w:lvlText w:val=""/>
      <w:lvlJc w:val="left"/>
    </w:lvl>
    <w:lvl w:ilvl="8" w:tplc="DED8AE62">
      <w:numFmt w:val="decimal"/>
      <w:lvlText w:val=""/>
      <w:lvlJc w:val="left"/>
    </w:lvl>
  </w:abstractNum>
  <w:abstractNum w:abstractNumId="1" w15:restartNumberingAfterBreak="0">
    <w:nsid w:val="6D5D45FC"/>
    <w:multiLevelType w:val="hybridMultilevel"/>
    <w:tmpl w:val="3D4600A0"/>
    <w:lvl w:ilvl="0" w:tplc="3912D29C">
      <w:start w:val="1"/>
      <w:numFmt w:val="bullet"/>
      <w:lvlText w:val="●"/>
      <w:lvlJc w:val="left"/>
      <w:pPr>
        <w:ind w:left="720" w:hanging="360"/>
      </w:pPr>
    </w:lvl>
    <w:lvl w:ilvl="1" w:tplc="34BEC582">
      <w:start w:val="1"/>
      <w:numFmt w:val="bullet"/>
      <w:lvlText w:val="○"/>
      <w:lvlJc w:val="left"/>
      <w:pPr>
        <w:ind w:left="1440" w:hanging="360"/>
      </w:pPr>
    </w:lvl>
    <w:lvl w:ilvl="2" w:tplc="C72C906C">
      <w:start w:val="1"/>
      <w:numFmt w:val="bullet"/>
      <w:lvlText w:val="■"/>
      <w:lvlJc w:val="left"/>
      <w:pPr>
        <w:ind w:left="2160" w:hanging="360"/>
      </w:pPr>
    </w:lvl>
    <w:lvl w:ilvl="3" w:tplc="0A06F824">
      <w:start w:val="1"/>
      <w:numFmt w:val="bullet"/>
      <w:lvlText w:val="●"/>
      <w:lvlJc w:val="left"/>
      <w:pPr>
        <w:ind w:left="2880" w:hanging="360"/>
      </w:pPr>
    </w:lvl>
    <w:lvl w:ilvl="4" w:tplc="14C2DEC4">
      <w:start w:val="1"/>
      <w:numFmt w:val="bullet"/>
      <w:lvlText w:val="○"/>
      <w:lvlJc w:val="left"/>
      <w:pPr>
        <w:ind w:left="3600" w:hanging="360"/>
      </w:pPr>
    </w:lvl>
    <w:lvl w:ilvl="5" w:tplc="B4B8992C">
      <w:start w:val="1"/>
      <w:numFmt w:val="bullet"/>
      <w:lvlText w:val="■"/>
      <w:lvlJc w:val="left"/>
      <w:pPr>
        <w:ind w:left="4320" w:hanging="360"/>
      </w:pPr>
    </w:lvl>
    <w:lvl w:ilvl="6" w:tplc="B83C6A94">
      <w:start w:val="1"/>
      <w:numFmt w:val="bullet"/>
      <w:lvlText w:val="●"/>
      <w:lvlJc w:val="left"/>
      <w:pPr>
        <w:ind w:left="5040" w:hanging="360"/>
      </w:pPr>
    </w:lvl>
    <w:lvl w:ilvl="7" w:tplc="449C7C32">
      <w:start w:val="1"/>
      <w:numFmt w:val="bullet"/>
      <w:lvlText w:val="●"/>
      <w:lvlJc w:val="left"/>
      <w:pPr>
        <w:ind w:left="5760" w:hanging="360"/>
      </w:pPr>
    </w:lvl>
    <w:lvl w:ilvl="8" w:tplc="31DE7A74">
      <w:start w:val="1"/>
      <w:numFmt w:val="bullet"/>
      <w:lvlText w:val="●"/>
      <w:lvlJc w:val="left"/>
      <w:pPr>
        <w:ind w:left="6480" w:hanging="360"/>
      </w:pPr>
    </w:lvl>
  </w:abstractNum>
  <w:num w:numId="1" w16cid:durableId="857963322">
    <w:abstractNumId w:val="1"/>
    <w:lvlOverride w:ilvl="0">
      <w:startOverride w:val="1"/>
    </w:lvlOverride>
  </w:num>
  <w:num w:numId="2" w16cid:durableId="184445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87"/>
    <w:rsid w:val="009121DE"/>
    <w:rsid w:val="009C1487"/>
    <w:rsid w:val="00D7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6A1D0"/>
  <w15:docId w15:val="{80691BB8-39CB-CB44-9ED3-52865560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821</Words>
  <Characters>4954</Characters>
  <Application>Microsoft Office Word</Application>
  <DocSecurity>0</DocSecurity>
  <Lines>107</Lines>
  <Paragraphs>53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suhail mahmud</cp:lastModifiedBy>
  <cp:revision>2</cp:revision>
  <dcterms:created xsi:type="dcterms:W3CDTF">2026-05-28T05:10:00Z</dcterms:created>
  <dcterms:modified xsi:type="dcterms:W3CDTF">2026-05-28T05:13:00Z</dcterms:modified>
</cp:coreProperties>
</file>