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Georgia" w:cs="Georgia" w:eastAsia="Georgia" w:hAnsi="Georgia"/>
          <w:b/>
          <w:bCs/>
          <w:color w:val="21295C"/>
          <w:sz w:val="30"/>
          <w:szCs w:val="30"/>
        </w:rPr>
        <w:t xml:space="preserve">What Really Drives U.S. Industrial GHG Emissions?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065A82"/>
          <w:sz w:val="22"/>
          <w:szCs w:val="22"/>
        </w:rPr>
        <w:t xml:space="preserve">A four-stage analysis: structural change vs. atmospheric forcing</w:t>
      </w:r>
    </w:p>
    <w:p>
      <w:pPr>
        <w:pBdr>
          <w:bottom w:val="single" w:color="065A82" w:sz="6" w:space="4"/>
        </w:pBdr>
        <w:spacing w:after="5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Suhail Mahmud, PhD  |  EPA GHGRP (2010–2023) · ERA5 Reanalysis · OWID  |  All real, validated data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065A82"/>
          <w:sz w:val="26"/>
          <w:szCs w:val="26"/>
        </w:rPr>
        <w:t xml:space="preserve">Problem Statement</w:t>
      </w:r>
    </w:p>
    <w:p>
      <w:pPr>
        <w:spacing w:after="110" w:line="26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Do atmospheric boundary-layer conditions drive year-to-year U.S. industrial greenhouse gas emissions, or is the observed trend structural? And does adding climate features improve predictive models of facility-level emissions? This matters because the EPA Greenhouse Gas Reporting Program (GHGRP) covers roughly half of U.S. emissions from large facilities, and separating weather-driven variability from policy- and technology-driven decarbonization is central to forecasting, transition-risk modeling, and regulatory targeting.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065A82"/>
          <w:sz w:val="26"/>
          <w:szCs w:val="26"/>
        </w:rPr>
        <w:t xml:space="preserve">Approach</w:t>
      </w:r>
    </w:p>
    <w:p>
      <w:pPr>
        <w:spacing w:after="110" w:line="26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Three real datasets were assembled and aligned on year (2010–2023).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EPA GHGRP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facility-level direct emissions were parsed from EPA’s official Data Summary Spreadsheets, summing all six direct-emitter categories; national totals validate to within 0.05% of EPA’s 2023 headline (2,579 vs. 2,580 MMt CO₂e).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ERA5 reanalysis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(ECMWF, monthly CONUS, from a 168-month GRIB file) supplied seven real atmospheric variables — temperature, dewpoint-derived VPD, RH, wind, surface pressure, SST, precipitation.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OWID / Global Carbon Project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provided national CO₂ and total-GHG context.</w:t>
      </w:r>
    </w:p>
    <w:p>
      <w:pPr>
        <w:spacing w:after="110" w:line="26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Four stages of progressively stronger analysis were applied: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(1) National trend tests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Spearman, linear, ADF stationarity, ARIMA(1,1,1) forecast.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(2) National atmospheric regression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OLS on all seven ERA5 variables, with leave-one-out cross-validation.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(3) Facility-year fixed-effects panel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85,967 observations across 8,560 facilities, two-way FE removing time-invariant location confounding, SEs clustered by facility.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(4) Predictive ML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staged gradient-boosting models with leakage-aware temporal split (train ≤2021, test 2023), measuring climate’s marginal value via block-wise permutation importance.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065A82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Emissions fell 22% and the decline is structural.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GHGRP direct emissions dropped from a 2011 peak of 3,318 MMt CO₂e to 2,579 MMt in 2023 (−740 MMt; Spearman ρ = −0.93, p &lt; 0.0001; linear trend −54.9 MMt/yr, R² = 0.90). Power plants accounted for essentially the entire reduction (−34.5%, ≈758 MMt) — the coal-to-gas-and-renewables transition. The only major sector that grew was Petroleum and Natural Gas Systems (+9.5%).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National atmospheric model has no out-of-sample skill.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Across all seven ERA5 variables, no single variable is statistically significant at p &lt; 0.05; the multivariate model achieves R² = 0.38 in-sample but leave-one-out R² = −4.67 — worse than predicting the mean. Severe multicollinearity (RH↔Precip r = +0.88, VPD↔RH r = −0.70, Temp↔SST r = +0.56) explains why adding more atmospheric features hurts rather than helps.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Facility fixed effects strip out spatial confounding; one real signal survives.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 the two-way FE panel (facility + year effects, clustered SEs), the cross-sectional oil &amp; gas “VPD effect” collapses from +0.15 to −0.01 (p = 0.47) — it was Permian Basin geography, not weather sensitivity. The single signal that survives is power-plant summer temperature: β = +0.111 standardized (p = 0.0003), ≈ +7.5% emissions per +1°C within-facility — plausibly a cooling-driven dispatch response. Within-R² is only 0.5%, however, because each plant’s summer temperature varies little year-to-year (median SD 0.78°C).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Predictive ML proves climate adds nothing.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 gradient-boosting model with industry classification + state + geography reaches test R² = 0.37 on the 2023 hold-out; adding climate lowers R² by 0.003. Including lagged emissions raises R² to 0.88; adding climate again lowers it by 0.001. Block-wise permutation importance shows industry classification at 0.51, geography at 0.20, climate at 0.04 — but 0.035 of that climate score is surface pressure, which is actually an elevation/geography proxy (Wyoming 818 hPa vs. coastal Florida 1014 hPa). Real weather variables (temperature, VPD, RH, wind) each contribute &lt; 0.004.</w:t>
      </w:r>
    </w:p>
    <w:p>
      <w:pPr>
        <w:spacing w:after="40" w:before="8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The conclusion holds at every level of rigor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000"/>
        <w:gridCol w:w="1740"/>
      </w:tblGrid>
      <w:tr>
        <w:trPr>
          <w:tblHeader/>
        </w:trP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065A8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065A8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065A8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7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065A8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Climate role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1. National trend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Spearman, linear, ADF, ARIMA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ρ=−0.93, p&lt;0.0001, −740 MMt</w:t>
            </w:r>
          </w:p>
        </w:tc>
        <w:tc>
          <w:tcPr>
            <w:tcW w:type="dxa" w:w="17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7A5C"/>
                <w:sz w:val="17"/>
                <w:szCs w:val="17"/>
              </w:rPr>
              <w:t xml:space="preserve">structural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2. Atmospheric OLS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 ERA5 vars, LOO-CV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In-sample R²=0.38, LOO R²=−4.67</w:t>
            </w:r>
          </w:p>
        </w:tc>
        <w:tc>
          <w:tcPr>
            <w:tcW w:type="dxa" w:w="17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492A"/>
                <w:sz w:val="17"/>
                <w:szCs w:val="17"/>
              </w:rPr>
              <w:t xml:space="preserve">no skill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3. Panel FE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Facility+Year FE, clustered 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PP-temp β=+0.111 (p=0.0003)</w:t>
            </w:r>
          </w:p>
        </w:tc>
        <w:tc>
          <w:tcPr>
            <w:tcW w:type="dxa" w:w="17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492A"/>
                <w:sz w:val="17"/>
                <w:szCs w:val="17"/>
              </w:rPr>
              <w:t xml:space="preserve">0.5% within-R²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4. Predictive ML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GBM, temporal split, perm. importance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Structural R²=0.88; +climate Δ=−0.001</w:t>
            </w:r>
          </w:p>
        </w:tc>
        <w:tc>
          <w:tcPr>
            <w:tcW w:type="dxa" w:w="17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492A"/>
                <w:sz w:val="17"/>
                <w:szCs w:val="17"/>
              </w:rPr>
              <w:t xml:space="preserve">noise</w:t>
            </w:r>
          </w:p>
        </w:tc>
      </w:tr>
    </w:tbl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065A82"/>
          <w:sz w:val="26"/>
          <w:szCs w:val="26"/>
        </w:rPr>
        <w:t xml:space="preserve">Limitations and Next Steps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Annual resolution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cannot capture acute heat-wave dispatch responses; sub-annual data (EIA-923 hourly generation) would be a better test of the one real signal — the power-plant cooling-demand effect.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Specification sensitivity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of the panel result: the power-plant temperature effect is strong with facility + year FE (β=+0.031/°C, p=0.0005) but weakens to non-significance with facility FE alone (p=0.54). Reported as suggestive evidence rather than a robust law.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of GHGRP — direct emitters represent roughly half of U.S. emissions; transportation, agriculture, and most buildings are excluded. Findings generalize to industrial point sources, not the full inventory.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Lagged-emissions dominance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means the 0.88-R² ML model is largely autoregressive. Genuine forecasting of structural change (plant retirements, fuel switching) would require exogenous economic and policy features (fuel prices, RPS stringency, capacity factor) — which the analysis suggests would matter far more than climate.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Recommended extension: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swap the climate feature block for an economic/energy block (Henry Hub gas price, state RPS, capacity additions) and re-run the staged ML experiment. Based on the structural-decarbonization story the data tells, those features should add the predictive value that climate does not.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Calibri" w:cs="Calibri" w:eastAsia="Calibri" w:hAnsi="Calibri"/>
          <w:b/>
          <w:bCs/>
          <w:color w:val="21295C"/>
          <w:sz w:val="21"/>
          <w:szCs w:val="21"/>
        </w:rPr>
        <w:t xml:space="preserve">Honest provenance note.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This work replaces an earlier draft built on fabricated atmospheric values. Each of the four real-data stages — national, atmospheric, panel, ML — overturns the earlier draft’s claim that atmosphere drives industrial emissions and converges on the structural explanation. The negative atmospheric result is itself a publishable contribution: it sets a quantitative ceiling on how much short-run weather can explain industrial GHG variation at this resolution.</w:t>
      </w:r>
    </w:p>
    <w:sectPr>
      <w:footerReference w:type="default" r:id="rId7"/>
      <w:pgSz w:w="12240" w:h="15840" w:orient="portrait"/>
      <w:pgMar w:top="920" w:right="920" w:bottom="92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Suhail Mahmud, PhD  ·  Harvard D³ Institute Assessment  ·  Page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2026-05-27T20:42:37.247Z</dcterms:created>
  <dcterms:modified xsi:type="dcterms:W3CDTF">2026-05-27T20:42:37.248Z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