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280"/>
              <w:left w:type="dxa" w:w="400"/>
              <w:bottom w:type="dxa" w:w="280"/>
              <w:right w:type="dxa" w:w="400"/>
            </w:tcMar>
          </w:tcPr>
          <w:p>
            <w:pPr>
              <w:jc w:val="center"/>
            </w:pPr>
            <w:r>
              <w:rPr>
                <w:rFonts w:ascii="Arial" w:cs="Arial" w:eastAsia="Arial" w:hAnsi="Arial"/>
                <w:b/>
                <w:bCs/>
                <w:color w:val="FFFFFF"/>
                <w:sz w:val="40"/>
                <w:szCs w:val="40"/>
              </w:rPr>
              <w:t xml:space="preserve">🏥  Maternity Readmission Risk Predictor</w:t>
            </w:r>
          </w:p>
          <w:p>
            <w:pPr>
              <w:spacing w:before="80"/>
              <w:jc w:val="center"/>
            </w:pPr>
            <w:r>
              <w:rPr>
                <w:rFonts w:ascii="Arial" w:cs="Arial" w:eastAsia="Arial" w:hAnsi="Arial"/>
                <w:color w:val="BFD3F5"/>
                <w:sz w:val="22"/>
                <w:szCs w:val="22"/>
              </w:rPr>
              <w:t xml:space="preserve">Project Summary Report  •  February 2026</w:t>
            </w:r>
          </w:p>
        </w:tc>
      </w:tr>
    </w:tbl>
    <w:p>
      <w:pPr>
        <w:spacing w:before="0" w:after="120"/>
      </w:pPr>
      <w:r>
        <w:t xml:space="preserve"/>
      </w:r>
    </w:p>
    <w:p>
      <w:pPr>
        <w:pStyle w:val="Heading1"/>
        <w:pBdr>
          <w:bottom w:val="single" w:color="2563EB" w:sz="6" w:space="4"/>
        </w:pBdr>
        <w:spacing w:before="320" w:after="160"/>
      </w:pPr>
      <w:r>
        <w:rPr>
          <w:rFonts w:ascii="Arial" w:cs="Arial" w:eastAsia="Arial" w:hAnsi="Arial"/>
          <w:b/>
          <w:bCs/>
          <w:color w:val="1E3A5F"/>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b/>
                <w:bCs/>
                <w:color w:val="1E3A5F"/>
                <w:sz w:val="20"/>
                <w:szCs w:val="20"/>
              </w:rPr>
              <w:t xml:space="preserve">Project Name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B5563"/>
                <w:sz w:val="20"/>
                <w:szCs w:val="20"/>
              </w:rPr>
              <w:t xml:space="preserve">Maternity Readmission Risk Predictor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1E3A5F"/>
                <w:sz w:val="20"/>
                <w:szCs w:val="20"/>
              </w:rPr>
              <w:t xml:space="preserve">Purpose</w:t>
            </w:r>
          </w:p>
        </w:tc>
        <w:tc>
          <w:tcPr>
            <w:tcW w:type="dxa" w:w="65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color w:val="4B5563"/>
                <w:sz w:val="20"/>
                <w:szCs w:val="20"/>
              </w:rPr>
              <w:t xml:space="preserve">Predict 30-day hospital readmission risk for maternity patients to support clinical decision-making and improve post-discharge care</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b/>
                <w:bCs/>
                <w:color w:val="1E3A5F"/>
                <w:sz w:val="20"/>
                <w:szCs w:val="20"/>
              </w:rPr>
              <w:t xml:space="preserve">Platform</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B5563"/>
                <w:sz w:val="20"/>
                <w:szCs w:val="20"/>
              </w:rPr>
              <w:t xml:space="preserve">Streamlit web application (Python)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1E3A5F"/>
                <w:sz w:val="20"/>
                <w:szCs w:val="20"/>
              </w:rPr>
              <w:t xml:space="preserve">Deployment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color w:val="4B5563"/>
                <w:sz w:val="20"/>
                <w:szCs w:val="20"/>
              </w:rPr>
              <w:t xml:space="preserve">Streamlit Community Cloud — streamlit.app</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b/>
                <w:bCs/>
                <w:color w:val="1E3A5F"/>
                <w:sz w:val="20"/>
                <w:szCs w:val="20"/>
              </w:rPr>
              <w:t xml:space="preserve">Last Audit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B5563"/>
                <w:sz w:val="20"/>
                <w:szCs w:val="20"/>
              </w:rPr>
              <w:t xml:space="preserve">February 2026</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1E3A5F"/>
                <w:sz w:val="20"/>
                <w:szCs w:val="20"/>
              </w:rPr>
              <w:t xml:space="preserve">Target Users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color w:val="4B5563"/>
                <w:sz w:val="20"/>
                <w:szCs w:val="20"/>
              </w:rPr>
              <w:t xml:space="preserve">Clinicians, midwives, discharge planners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b/>
                <w:bCs/>
                <w:color w:val="1E3A5F"/>
                <w:sz w:val="20"/>
                <w:szCs w:val="20"/>
              </w:rPr>
              <w:t xml:space="preserve">Status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B5563"/>
                <w:sz w:val="20"/>
                <w:szCs w:val="20"/>
              </w:rPr>
              <w:t xml:space="preserve">Active (demo data mode; production requires maternity_data.csv)</w:t>
            </w:r>
          </w:p>
        </w:tc>
      </w:tr>
    </w:tbl>
    <w:p>
      <w:pPr>
        <w:spacing w:before="0" w:after="120"/>
      </w:pPr>
      <w:r>
        <w:t xml:space="preserve"/>
      </w:r>
    </w:p>
    <w:p>
      <w:pPr>
        <w:pStyle w:val="Heading1"/>
        <w:pBdr>
          <w:bottom w:val="single" w:color="2563EB" w:sz="6" w:space="4"/>
        </w:pBdr>
        <w:spacing w:before="320" w:after="160"/>
      </w:pPr>
      <w:r>
        <w:rPr>
          <w:rFonts w:ascii="Arial" w:cs="Arial" w:eastAsia="Arial" w:hAnsi="Arial"/>
          <w:b/>
          <w:bCs/>
          <w:color w:val="1E3A5F"/>
          <w:sz w:val="32"/>
          <w:szCs w:val="32"/>
        </w:rPr>
        <w:t xml:space="preserve">2. Problem Statement</w:t>
      </w:r>
    </w:p>
    <w:p>
      <w:pPr>
        <w:spacing w:before="80" w:after="80"/>
      </w:pPr>
      <w:r>
        <w:rPr>
          <w:rFonts w:ascii="Arial" w:cs="Arial" w:eastAsia="Arial" w:hAnsi="Arial"/>
          <w:color w:val="4B5563"/>
          <w:sz w:val="22"/>
          <w:szCs w:val="22"/>
        </w:rPr>
        <w:t xml:space="preserve">Unplanned hospital readmissions following childbirth place significant strain on healthcare systems and, more importantly, indicate unmet patient needs during the critical postnatal period. Identifying patients at elevated readmission risk before discharge enables targeted interventions — earlier follow-up appointments, home nursing visits, and enhanced discharge planning — that can improve outcomes and reduce preventable readmissions.</w:t>
      </w:r>
    </w:p>
    <w:p>
      <w:pPr>
        <w:spacing w:before="0" w:after="120"/>
      </w:pPr>
      <w:r>
        <w:t xml:space="preserve"/>
      </w:r>
    </w:p>
    <w:p>
      <w:pPr>
        <w:pStyle w:val="Heading1"/>
        <w:pBdr>
          <w:bottom w:val="single" w:color="2563EB" w:sz="6" w:space="4"/>
        </w:pBdr>
        <w:spacing w:before="320" w:after="160"/>
      </w:pPr>
      <w:r>
        <w:rPr>
          <w:rFonts w:ascii="Arial" w:cs="Arial" w:eastAsia="Arial" w:hAnsi="Arial"/>
          <w:b/>
          <w:bCs/>
          <w:color w:val="1E3A5F"/>
          <w:sz w:val="32"/>
          <w:szCs w:val="32"/>
        </w:rPr>
        <w:t xml:space="preserve">3. Solution Architecture</w:t>
      </w:r>
    </w:p>
    <w:p>
      <w:pPr>
        <w:pStyle w:val="Heading2"/>
        <w:spacing w:before="240" w:after="120"/>
      </w:pPr>
      <w:r>
        <w:rPr>
          <w:rFonts w:ascii="Arial" w:cs="Arial" w:eastAsia="Arial" w:hAnsi="Arial"/>
          <w:b/>
          <w:bCs/>
          <w:color w:val="2563EB"/>
          <w:sz w:val="26"/>
          <w:szCs w:val="26"/>
        </w:rPr>
        <w:t xml:space="preserve">3.1  Data Pipeline</w:t>
      </w:r>
    </w:p>
    <w:p>
      <w:pPr>
        <w:spacing w:before="80" w:after="80"/>
      </w:pPr>
      <w:r>
        <w:rPr>
          <w:rFonts w:ascii="Arial" w:cs="Arial" w:eastAsia="Arial" w:hAnsi="Arial"/>
          <w:color w:val="4B5563"/>
          <w:sz w:val="22"/>
          <w:szCs w:val="22"/>
        </w:rPr>
        <w:t xml:space="preserve">The application accepts a CSV file (maternity_data.csv) containing historical maternity patient records. When no file is present, synthetic demo data (500 patients) is generated to allow the app to run in demonstration mode. Data undergoes the following preparation steps:</w:t>
      </w:r>
    </w:p>
    <w:p>
      <w:pPr>
        <w:pStyle w:val="ListParagraph"/>
        <w:numPr>
          <w:ilvl w:val="0"/>
          <w:numId w:val="2"/>
        </w:numPr>
        <w:spacing w:before="60" w:after="60"/>
      </w:pPr>
      <w:r>
        <w:rPr>
          <w:rFonts w:ascii="Arial" w:cs="Arial" w:eastAsia="Arial" w:hAnsi="Arial"/>
          <w:color w:val="4B5563"/>
          <w:sz w:val="22"/>
          <w:szCs w:val="22"/>
        </w:rPr>
        <w:t xml:space="preserve">Age and LengthofStaydays filtering (18–45 years; ≥2 days stay)</w:t>
      </w:r>
    </w:p>
    <w:p>
      <w:pPr>
        <w:pStyle w:val="ListParagraph"/>
        <w:numPr>
          <w:ilvl w:val="0"/>
          <w:numId w:val="2"/>
        </w:numPr>
        <w:spacing w:before="60" w:after="60"/>
      </w:pPr>
      <w:r>
        <w:rPr>
          <w:rFonts w:ascii="Arial" w:cs="Arial" w:eastAsia="Arial" w:hAnsi="Arial"/>
          <w:color w:val="4B5563"/>
          <w:sz w:val="22"/>
          <w:szCs w:val="22"/>
        </w:rPr>
        <w:t xml:space="preserve">Median/mode imputation for missing LaborDuration, Age, and Complications values</w:t>
      </w:r>
    </w:p>
    <w:p>
      <w:pPr>
        <w:pStyle w:val="ListParagraph"/>
        <w:numPr>
          <w:ilvl w:val="0"/>
          <w:numId w:val="2"/>
        </w:numPr>
        <w:spacing w:before="60" w:after="60"/>
      </w:pPr>
      <w:r>
        <w:rPr>
          <w:rFonts w:ascii="Arial" w:cs="Arial" w:eastAsia="Arial" w:hAnsi="Arial"/>
          <w:color w:val="4B5563"/>
          <w:sz w:val="22"/>
          <w:szCs w:val="22"/>
        </w:rPr>
        <w:t xml:space="preserve">Binary encoding of categorical features (Location, Complications, Readmitted)</w:t>
      </w:r>
    </w:p>
    <w:p>
      <w:pPr>
        <w:spacing w:before="0" w:after="60"/>
      </w:pPr>
      <w:r>
        <w:t xml:space="preserve"/>
      </w:r>
    </w:p>
    <w:p>
      <w:pPr>
        <w:pStyle w:val="Heading2"/>
        <w:spacing w:before="240" w:after="120"/>
      </w:pPr>
      <w:r>
        <w:rPr>
          <w:rFonts w:ascii="Arial" w:cs="Arial" w:eastAsia="Arial" w:hAnsi="Arial"/>
          <w:b/>
          <w:bCs/>
          <w:color w:val="2563EB"/>
          <w:sz w:val="26"/>
          <w:szCs w:val="26"/>
        </w:rPr>
        <w:t xml:space="preserve">3.2  Feature Engineering</w:t>
      </w:r>
    </w:p>
    <w:p>
      <w:pPr>
        <w:spacing w:before="80" w:after="80"/>
      </w:pPr>
      <w:r>
        <w:rPr>
          <w:rFonts w:ascii="Arial" w:cs="Arial" w:eastAsia="Arial" w:hAnsi="Arial"/>
          <w:color w:val="4B5563"/>
          <w:sz w:val="22"/>
          <w:szCs w:val="22"/>
        </w:rPr>
        <w:t xml:space="preserve">Three composite features were engineered to capture non-linear clinical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b/>
                <w:bCs/>
                <w:color w:val="1E3A5F"/>
                <w:sz w:val="20"/>
                <w:szCs w:val="20"/>
              </w:rPr>
              <w:t xml:space="preserve">Complication_Risk</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B5563"/>
                <w:sz w:val="20"/>
                <w:szCs w:val="20"/>
              </w:rPr>
              <w:t xml:space="preserve">Complications_Encoded × (LengthofStaydays / 5) — amplifies risk when complications co-occur with extended stays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1E3A5F"/>
                <w:sz w:val="20"/>
                <w:szCs w:val="20"/>
              </w:rPr>
              <w:t xml:space="preserve">LOS_Severity</w:t>
            </w:r>
          </w:p>
        </w:tc>
        <w:tc>
          <w:tcPr>
            <w:tcW w:type="dxa" w:w="65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color w:val="4B5563"/>
                <w:sz w:val="20"/>
                <w:szCs w:val="20"/>
              </w:rPr>
              <w:t xml:space="preserve">LengthofStaydays^1.5 — non-linear penalty for very long stays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b/>
                <w:bCs/>
                <w:color w:val="1E3A5F"/>
                <w:sz w:val="20"/>
                <w:szCs w:val="20"/>
              </w:rPr>
              <w:t xml:space="preserve">Age_LOS_Interaction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B5563"/>
                <w:sz w:val="20"/>
                <w:szCs w:val="20"/>
              </w:rPr>
              <w:t xml:space="preserve">(Age / 30) × LengthofStaydays — interaction between patient age and length of stay</w:t>
            </w:r>
          </w:p>
        </w:tc>
      </w:tr>
    </w:tbl>
    <w:p>
      <w:pPr>
        <w:spacing w:before="0" w:after="120"/>
      </w:pPr>
      <w:r>
        <w:t xml:space="preserve"/>
      </w:r>
    </w:p>
    <w:p>
      <w:pPr>
        <w:pStyle w:val="Heading2"/>
        <w:spacing w:before="240" w:after="120"/>
      </w:pPr>
      <w:r>
        <w:rPr>
          <w:rFonts w:ascii="Arial" w:cs="Arial" w:eastAsia="Arial" w:hAnsi="Arial"/>
          <w:b/>
          <w:bCs/>
          <w:color w:val="2563EB"/>
          <w:sz w:val="26"/>
          <w:szCs w:val="26"/>
        </w:rPr>
        <w:t xml:space="preserve">3.3  Model Training</w:t>
      </w:r>
    </w:p>
    <w:p>
      <w:pPr>
        <w:spacing w:before="80" w:after="80"/>
      </w:pPr>
      <w:r>
        <w:rPr>
          <w:rFonts w:ascii="Arial" w:cs="Arial" w:eastAsia="Arial" w:hAnsi="Arial"/>
          <w:color w:val="4B5563"/>
          <w:sz w:val="22"/>
          <w:szCs w:val="22"/>
        </w:rPr>
        <w:t xml:space="preserve">Five models are trained and evaluated on an 80/20 stratified train-test split. Sample weights are applied during training to emphasise patients with complications (×2.0) and extended stays (×1.5), with both factors attracting a weight of ×3.0. Feature scaling is applied via StandardScaler prior to training.</w:t>
      </w:r>
    </w:p>
    <w:p>
      <w:pPr>
        <w:spacing w:before="0" w:after="120"/>
      </w:pPr>
      <w:r>
        <w:t xml:space="preserve"/>
      </w:r>
    </w:p>
    <w:p>
      <w:pPr>
        <w:pStyle w:val="Heading1"/>
        <w:pBdr>
          <w:bottom w:val="single" w:color="2563EB" w:sz="6" w:space="4"/>
        </w:pBdr>
        <w:spacing w:before="320" w:after="160"/>
      </w:pPr>
      <w:r>
        <w:rPr>
          <w:rFonts w:ascii="Arial" w:cs="Arial" w:eastAsia="Arial" w:hAnsi="Arial"/>
          <w:b/>
          <w:bCs/>
          <w:color w:val="1E3A5F"/>
          <w:sz w:val="32"/>
          <w:szCs w:val="32"/>
        </w:rPr>
        <w:t xml:space="preserve">4. Model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AUC-ROC</w:t>
            </w:r>
          </w:p>
        </w:tc>
        <w:tc>
          <w:tcPr>
            <w:tcW w:type="dxa" w:w="2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B5563"/>
                <w:sz w:val="20"/>
                <w:szCs w:val="20"/>
              </w:rPr>
              <w:t xml:space="preserve">Random Forest (100 trees)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B5563"/>
                <w:sz w:val="20"/>
                <w:szCs w:val="20"/>
              </w:rPr>
              <w:t xml:space="preserve">68.2%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B5563"/>
                <w:sz w:val="20"/>
                <w:szCs w:val="20"/>
              </w:rPr>
              <w:t xml:space="preserve">0.620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B5563"/>
                <w:sz w:val="20"/>
                <w:szCs w:val="20"/>
              </w:rPr>
              <w:t xml:space="preserve">Baseline model</w:t>
            </w:r>
          </w:p>
        </w:tc>
      </w:tr>
      <w:tr>
        <w:tc>
          <w:tcPr>
            <w:tcW w:type="dxa" w:w="30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left"/>
            </w:pPr>
            <w:r>
              <w:rPr>
                <w:rFonts w:ascii="Arial" w:cs="Arial" w:eastAsia="Arial" w:hAnsi="Arial"/>
                <w:b/>
                <w:bCs/>
                <w:color w:val="059669"/>
                <w:sz w:val="20"/>
                <w:szCs w:val="20"/>
              </w:rPr>
              <w:t xml:space="preserve">Random Forest (300 trees) ✓</w:t>
            </w:r>
          </w:p>
        </w:tc>
        <w:tc>
          <w:tcPr>
            <w:tcW w:type="dxa" w:w="18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61.4%</w:t>
            </w:r>
          </w:p>
        </w:tc>
        <w:tc>
          <w:tcPr>
            <w:tcW w:type="dxa" w:w="180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0.592</w:t>
            </w:r>
          </w:p>
        </w:tc>
        <w:tc>
          <w:tcPr>
            <w:tcW w:type="dxa" w:w="276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tcPr>
          <w:p>
            <w:pPr>
              <w:jc w:val="left"/>
            </w:pPr>
            <w:r>
              <w:rPr>
                <w:rFonts w:ascii="Arial" w:cs="Arial" w:eastAsia="Arial" w:hAnsi="Arial"/>
                <w:b/>
                <w:bCs/>
                <w:color w:val="059669"/>
                <w:sz w:val="20"/>
                <w:szCs w:val="20"/>
              </w:rPr>
              <w:t xml:space="preserve">PRIMARY — balanced class weights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B5563"/>
                <w:sz w:val="20"/>
                <w:szCs w:val="20"/>
              </w:rPr>
              <w:t xml:space="preserve">Gradient Boosting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B5563"/>
                <w:sz w:val="20"/>
                <w:szCs w:val="20"/>
              </w:rPr>
              <w:t xml:space="preserve">62.5%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B5563"/>
                <w:sz w:val="20"/>
                <w:szCs w:val="20"/>
              </w:rPr>
              <w:t xml:space="preserve">0.529</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B5563"/>
                <w:sz w:val="20"/>
                <w:szCs w:val="20"/>
              </w:rPr>
              <w:t xml:space="preserve">Lower AUC; less preferred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b w:val="false"/>
                <w:bCs w:val="false"/>
                <w:color w:val="4B5563"/>
                <w:sz w:val="20"/>
                <w:szCs w:val="20"/>
              </w:rPr>
              <w:t xml:space="preserve">Logistic Regression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4B5563"/>
                <w:sz w:val="20"/>
                <w:szCs w:val="20"/>
              </w:rPr>
              <w:t xml:space="preserve">63.6%</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center"/>
            </w:pPr>
            <w:r>
              <w:rPr>
                <w:rFonts w:ascii="Arial" w:cs="Arial" w:eastAsia="Arial" w:hAnsi="Arial"/>
                <w:b w:val="false"/>
                <w:bCs w:val="false"/>
                <w:color w:val="4B5563"/>
                <w:sz w:val="20"/>
                <w:szCs w:val="20"/>
              </w:rPr>
              <w:t xml:space="preserve">0.639</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jc w:val="left"/>
            </w:pPr>
            <w:r>
              <w:rPr>
                <w:rFonts w:ascii="Arial" w:cs="Arial" w:eastAsia="Arial" w:hAnsi="Arial"/>
                <w:b w:val="false"/>
                <w:bCs w:val="false"/>
                <w:color w:val="4B5563"/>
                <w:sz w:val="20"/>
                <w:szCs w:val="20"/>
              </w:rPr>
              <w:t xml:space="preserve">Best AUC; interpretable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B5563"/>
                <w:sz w:val="20"/>
                <w:szCs w:val="20"/>
              </w:rPr>
              <w:t xml:space="preserve">XGBoost / Fallback RF</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B5563"/>
                <w:sz w:val="20"/>
                <w:szCs w:val="20"/>
              </w:rPr>
              <w:t xml:space="preserve">65.9%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B5563"/>
                <w:sz w:val="20"/>
                <w:szCs w:val="20"/>
              </w:rPr>
              <w:t xml:space="preserve">0.629</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left"/>
            </w:pPr>
            <w:r>
              <w:rPr>
                <w:rFonts w:ascii="Arial" w:cs="Arial" w:eastAsia="Arial" w:hAnsi="Arial"/>
                <w:b w:val="false"/>
                <w:bCs w:val="false"/>
                <w:color w:val="4B5563"/>
                <w:sz w:val="20"/>
                <w:szCs w:val="20"/>
              </w:rPr>
              <w:t xml:space="preserve">Strong overall performance</w:t>
            </w:r>
          </w:p>
        </w:tc>
      </w:tr>
    </w:tbl>
    <w:p>
      <w:pPr>
        <w:spacing w:before="0" w:after="60"/>
      </w:pPr>
      <w:r>
        <w:t xml:space="preserve"/>
      </w:r>
    </w:p>
    <w:p>
      <w:pPr>
        <w:spacing w:before="80" w:after="80"/>
      </w:pPr>
      <w:r>
        <w:rPr>
          <w:rFonts w:ascii="Arial" w:cs="Arial" w:eastAsia="Arial" w:hAnsi="Arial"/>
          <w:color w:val="4B5563"/>
          <w:sz w:val="22"/>
          <w:szCs w:val="22"/>
        </w:rPr>
        <w:t xml:space="preserve">✓  The Optimised Random Forest (300 trees) is selected as the primary prediction model. Its use of class_weight='balanced' ensures equitable treatment of the minority (readmitted) class. A risk threshold of 35% is applied: patients with a predicted probability ≥ 35% are classified as HIGH RISK.</w:t>
      </w:r>
    </w:p>
    <w:p>
      <w:pPr>
        <w:spacing w:before="0" w:after="120"/>
      </w:pPr>
      <w:r>
        <w:t xml:space="preserve"/>
      </w:r>
    </w:p>
    <w:p>
      <w:pPr>
        <w:pStyle w:val="Heading1"/>
        <w:pBdr>
          <w:bottom w:val="single" w:color="2563EB" w:sz="6" w:space="4"/>
        </w:pBdr>
        <w:spacing w:before="320" w:after="160"/>
      </w:pPr>
      <w:r>
        <w:rPr>
          <w:rFonts w:ascii="Arial" w:cs="Arial" w:eastAsia="Arial" w:hAnsi="Arial"/>
          <w:b/>
          <w:bCs/>
          <w:color w:val="1E3A5F"/>
          <w:sz w:val="32"/>
          <w:szCs w:val="32"/>
        </w:rPr>
        <w:t xml:space="preserve">5. Application Features</w:t>
      </w:r>
    </w:p>
    <w:p>
      <w:pPr>
        <w:pStyle w:val="Heading2"/>
        <w:spacing w:before="240" w:after="120"/>
      </w:pPr>
      <w:r>
        <w:rPr>
          <w:rFonts w:ascii="Arial" w:cs="Arial" w:eastAsia="Arial" w:hAnsi="Arial"/>
          <w:b/>
          <w:bCs/>
          <w:color w:val="2563EB"/>
          <w:sz w:val="26"/>
          <w:szCs w:val="26"/>
        </w:rPr>
        <w:t xml:space="preserve">5.1  Individual Patient Risk Prediction</w:t>
      </w:r>
    </w:p>
    <w:p>
      <w:pPr>
        <w:pStyle w:val="ListParagraph"/>
        <w:numPr>
          <w:ilvl w:val="0"/>
          <w:numId w:val="2"/>
        </w:numPr>
        <w:spacing w:before="60" w:after="60"/>
      </w:pPr>
      <w:r>
        <w:rPr>
          <w:rFonts w:ascii="Arial" w:cs="Arial" w:eastAsia="Arial" w:hAnsi="Arial"/>
          <w:color w:val="4B5563"/>
          <w:sz w:val="22"/>
          <w:szCs w:val="22"/>
        </w:rPr>
        <w:t xml:space="preserve">Interactive sliders and dropdowns for Age, Labor Duration, Length of Stay, Location, and Complications</w:t>
      </w:r>
    </w:p>
    <w:p>
      <w:pPr>
        <w:pStyle w:val="ListParagraph"/>
        <w:numPr>
          <w:ilvl w:val="0"/>
          <w:numId w:val="2"/>
        </w:numPr>
        <w:spacing w:before="60" w:after="60"/>
      </w:pPr>
      <w:r>
        <w:rPr>
          <w:rFonts w:ascii="Arial" w:cs="Arial" w:eastAsia="Arial" w:hAnsi="Arial"/>
          <w:color w:val="4B5563"/>
          <w:sz w:val="22"/>
          <w:szCs w:val="22"/>
        </w:rPr>
        <w:t xml:space="preserve">Real-time risk probability displayed on a gauge chart with Low / Medium / High zones</w:t>
      </w:r>
    </w:p>
    <w:p>
      <w:pPr>
        <w:pStyle w:val="ListParagraph"/>
        <w:numPr>
          <w:ilvl w:val="0"/>
          <w:numId w:val="2"/>
        </w:numPr>
        <w:spacing w:before="60" w:after="60"/>
      </w:pPr>
      <w:r>
        <w:rPr>
          <w:rFonts w:ascii="Arial" w:cs="Arial" w:eastAsia="Arial" w:hAnsi="Arial"/>
          <w:color w:val="4B5563"/>
          <w:sz w:val="22"/>
          <w:szCs w:val="22"/>
        </w:rPr>
        <w:t xml:space="preserve">Colour-coded HIGH / LOW risk classification card</w:t>
      </w:r>
    </w:p>
    <w:p>
      <w:pPr>
        <w:pStyle w:val="ListParagraph"/>
        <w:numPr>
          <w:ilvl w:val="0"/>
          <w:numId w:val="2"/>
        </w:numPr>
        <w:spacing w:before="60" w:after="60"/>
      </w:pPr>
      <w:r>
        <w:rPr>
          <w:rFonts w:ascii="Arial" w:cs="Arial" w:eastAsia="Arial" w:hAnsi="Arial"/>
          <w:color w:val="4B5563"/>
          <w:sz w:val="22"/>
          <w:szCs w:val="22"/>
        </w:rPr>
        <w:t xml:space="preserve">Risk factor summary showing directional influence of each input</w:t>
      </w:r>
    </w:p>
    <w:p>
      <w:pPr>
        <w:pStyle w:val="ListParagraph"/>
        <w:numPr>
          <w:ilvl w:val="0"/>
          <w:numId w:val="2"/>
        </w:numPr>
        <w:spacing w:before="60" w:after="60"/>
      </w:pPr>
      <w:r>
        <w:rPr>
          <w:rFonts w:ascii="Arial" w:cs="Arial" w:eastAsia="Arial" w:hAnsi="Arial"/>
          <w:color w:val="4B5563"/>
          <w:sz w:val="22"/>
          <w:szCs w:val="22"/>
        </w:rPr>
        <w:t xml:space="preserve">Tailored clinical recommendations based on risk level</w:t>
      </w:r>
    </w:p>
    <w:p>
      <w:pPr>
        <w:spacing w:before="0" w:after="60"/>
      </w:pPr>
      <w:r>
        <w:t xml:space="preserve"/>
      </w:r>
    </w:p>
    <w:p>
      <w:pPr>
        <w:pStyle w:val="Heading2"/>
        <w:spacing w:before="240" w:after="120"/>
      </w:pPr>
      <w:r>
        <w:rPr>
          <w:rFonts w:ascii="Arial" w:cs="Arial" w:eastAsia="Arial" w:hAnsi="Arial"/>
          <w:b/>
          <w:bCs/>
          <w:color w:val="2563EB"/>
          <w:sz w:val="26"/>
          <w:szCs w:val="26"/>
        </w:rPr>
        <w:t xml:space="preserve">5.2  Population Analysis (Demo)</w:t>
      </w:r>
    </w:p>
    <w:p>
      <w:pPr>
        <w:pStyle w:val="ListParagraph"/>
        <w:numPr>
          <w:ilvl w:val="0"/>
          <w:numId w:val="2"/>
        </w:numPr>
        <w:spacing w:before="60" w:after="60"/>
      </w:pPr>
      <w:r>
        <w:rPr>
          <w:rFonts w:ascii="Arial" w:cs="Arial" w:eastAsia="Arial" w:hAnsi="Arial"/>
          <w:color w:val="4B5563"/>
          <w:sz w:val="22"/>
          <w:szCs w:val="22"/>
        </w:rPr>
        <w:t xml:space="preserve">Pre-loaded demo cohort of 10 patients with batch predictions</w:t>
      </w:r>
    </w:p>
    <w:p>
      <w:pPr>
        <w:pStyle w:val="ListParagraph"/>
        <w:numPr>
          <w:ilvl w:val="0"/>
          <w:numId w:val="2"/>
        </w:numPr>
        <w:spacing w:before="60" w:after="60"/>
      </w:pPr>
      <w:r>
        <w:rPr>
          <w:rFonts w:ascii="Arial" w:cs="Arial" w:eastAsia="Arial" w:hAnsi="Arial"/>
          <w:color w:val="4B5563"/>
          <w:sz w:val="22"/>
          <w:szCs w:val="22"/>
        </w:rPr>
        <w:t xml:space="preserve">Colour-coded results table (red = HIGH, green = LOW)</w:t>
      </w:r>
    </w:p>
    <w:p>
      <w:pPr>
        <w:spacing w:before="0" w:after="60"/>
      </w:pPr>
      <w:r>
        <w:t xml:space="preserve"/>
      </w:r>
    </w:p>
    <w:p>
      <w:pPr>
        <w:pStyle w:val="Heading2"/>
        <w:spacing w:before="240" w:after="120"/>
      </w:pPr>
      <w:r>
        <w:rPr>
          <w:rFonts w:ascii="Arial" w:cs="Arial" w:eastAsia="Arial" w:hAnsi="Arial"/>
          <w:b/>
          <w:bCs/>
          <w:color w:val="2563EB"/>
          <w:sz w:val="26"/>
          <w:szCs w:val="26"/>
        </w:rPr>
        <w:t xml:space="preserve">5.3  Educational Tabs</w:t>
      </w:r>
    </w:p>
    <w:p>
      <w:pPr>
        <w:pStyle w:val="ListParagraph"/>
        <w:numPr>
          <w:ilvl w:val="0"/>
          <w:numId w:val="2"/>
        </w:numPr>
        <w:spacing w:before="60" w:after="60"/>
      </w:pPr>
      <w:r>
        <w:rPr>
          <w:rFonts w:ascii="Arial" w:cs="Arial" w:eastAsia="Arial" w:hAnsi="Arial"/>
          <w:color w:val="4B5563"/>
          <w:sz w:val="22"/>
          <w:szCs w:val="22"/>
        </w:rPr>
        <w:t xml:space="preserve">Feature Impact — horizontal bar chart of feature importances from the primary model</w:t>
      </w:r>
    </w:p>
    <w:p>
      <w:pPr>
        <w:pStyle w:val="ListParagraph"/>
        <w:numPr>
          <w:ilvl w:val="0"/>
          <w:numId w:val="2"/>
        </w:numPr>
        <w:spacing w:before="60" w:after="60"/>
      </w:pPr>
      <w:r>
        <w:rPr>
          <w:rFonts w:ascii="Arial" w:cs="Arial" w:eastAsia="Arial" w:hAnsi="Arial"/>
          <w:color w:val="4B5563"/>
          <w:sz w:val="22"/>
          <w:szCs w:val="22"/>
        </w:rPr>
        <w:t xml:space="preserve">Model Performance — comparative accuracy and AUC table for all five models</w:t>
      </w:r>
    </w:p>
    <w:p>
      <w:pPr>
        <w:pStyle w:val="ListParagraph"/>
        <w:numPr>
          <w:ilvl w:val="0"/>
          <w:numId w:val="2"/>
        </w:numPr>
        <w:spacing w:before="60" w:after="60"/>
      </w:pPr>
      <w:r>
        <w:rPr>
          <w:rFonts w:ascii="Arial" w:cs="Arial" w:eastAsia="Arial" w:hAnsi="Arial"/>
          <w:color w:val="4B5563"/>
          <w:sz w:val="22"/>
          <w:szCs w:val="22"/>
        </w:rPr>
        <w:t xml:space="preserve">Ethics &amp; Fairness — design rationale, bias monitoring approach, and ICMR compliance notes</w:t>
      </w:r>
    </w:p>
    <w:p>
      <w:pPr>
        <w:pStyle w:val="ListParagraph"/>
        <w:numPr>
          <w:ilvl w:val="0"/>
          <w:numId w:val="2"/>
        </w:numPr>
        <w:spacing w:before="60" w:after="60"/>
      </w:pPr>
      <w:r>
        <w:rPr>
          <w:rFonts w:ascii="Arial" w:cs="Arial" w:eastAsia="Arial" w:hAnsi="Arial"/>
          <w:color w:val="4B5563"/>
          <w:sz w:val="22"/>
          <w:szCs w:val="22"/>
        </w:rPr>
        <w:t xml:space="preserve">FAQ — six frequently asked questions covering model purpose, accuracy, and override policy</w:t>
      </w:r>
    </w:p>
    <w:p>
      <w:pPr>
        <w:spacing w:before="0" w:after="120"/>
      </w:pPr>
      <w:r>
        <w:t xml:space="preserve"/>
      </w:r>
    </w:p>
    <w:p>
      <w:pPr>
        <w:pStyle w:val="Heading1"/>
        <w:pBdr>
          <w:bottom w:val="single" w:color="2563EB" w:sz="6" w:space="4"/>
        </w:pBdr>
        <w:spacing w:before="320" w:after="160"/>
      </w:pPr>
      <w:r>
        <w:rPr>
          <w:rFonts w:ascii="Arial" w:cs="Arial" w:eastAsia="Arial" w:hAnsi="Arial"/>
          <w:b/>
          <w:bCs/>
          <w:color w:val="1E3A5F"/>
          <w:sz w:val="32"/>
          <w:szCs w:val="32"/>
        </w:rPr>
        <w:t xml:space="preserve">6. Ethical &amp; Fairness Considerations</w:t>
      </w:r>
    </w:p>
    <w:p>
      <w:pPr>
        <w:pStyle w:val="Heading2"/>
        <w:spacing w:before="240" w:after="120"/>
      </w:pPr>
      <w:r>
        <w:rPr>
          <w:rFonts w:ascii="Arial" w:cs="Arial" w:eastAsia="Arial" w:hAnsi="Arial"/>
          <w:b/>
          <w:bCs/>
          <w:color w:val="2563EB"/>
          <w:sz w:val="26"/>
          <w:szCs w:val="26"/>
        </w:rPr>
        <w:t xml:space="preserve">6.1  Fairness Principle</w:t>
      </w:r>
    </w:p>
    <w:p>
      <w:pPr>
        <w:spacing w:before="80" w:after="80"/>
      </w:pPr>
      <w:r>
        <w:rPr>
          <w:rFonts w:ascii="Arial" w:cs="Arial" w:eastAsia="Arial" w:hAnsi="Arial"/>
          <w:color w:val="4B5563"/>
          <w:sz w:val="22"/>
          <w:szCs w:val="22"/>
        </w:rPr>
        <w:t xml:space="preserve">The system applies Individual Fairness: patients with similar clinical profiles receive similar risk assessments, regardless of protected characteristics.</w:t>
      </w:r>
    </w:p>
    <w:p>
      <w:pPr>
        <w:spacing w:before="0" w:after="60"/>
      </w:pPr>
      <w:r>
        <w:t xml:space="preserve"/>
      </w:r>
    </w:p>
    <w:p>
      <w:pPr>
        <w:pStyle w:val="Heading2"/>
        <w:spacing w:before="240" w:after="120"/>
      </w:pPr>
      <w:r>
        <w:rPr>
          <w:rFonts w:ascii="Arial" w:cs="Arial" w:eastAsia="Arial" w:hAnsi="Arial"/>
          <w:b/>
          <w:bCs/>
          <w:color w:val="2563EB"/>
          <w:sz w:val="26"/>
          <w:szCs w:val="26"/>
        </w:rPr>
        <w:t xml:space="preserve">6.2  Deliberate Feature Exclusions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BEB" w:val="clear"/>
            <w:tcMar>
              <w:top w:type="dxa" w:w="120"/>
              <w:left w:type="dxa" w:w="200"/>
              <w:bottom w:type="dxa" w:w="120"/>
              <w:right w:type="dxa" w:w="200"/>
            </w:tcMar>
          </w:tcPr>
          <w:p>
            <w:r>
              <w:rPr>
                <w:rFonts w:ascii="Arial" w:cs="Arial" w:eastAsia="Arial" w:hAnsi="Arial"/>
                <w:color w:val="D97706"/>
                <w:sz w:val="20"/>
                <w:szCs w:val="20"/>
              </w:rPr>
              <w:t xml:space="preserve">❌  Delivery Type (Vaginal vs. Cesarean) is EXCLUDED from the model. Although statistically predictive, inclusion could perpetuate historical biases. The underlying clinical signals are captured through Complications and LengthofStaydays instead.</w:t>
            </w:r>
          </w:p>
        </w:tc>
      </w:tr>
    </w:tbl>
    <w:p>
      <w:pPr>
        <w:spacing w:before="0" w:after="60"/>
      </w:pPr>
      <w:r>
        <w:t xml:space="preserve"/>
      </w:r>
    </w:p>
    <w:p>
      <w:pPr>
        <w:pStyle w:val="Heading2"/>
        <w:spacing w:before="240" w:after="120"/>
      </w:pPr>
      <w:r>
        <w:rPr>
          <w:rFonts w:ascii="Arial" w:cs="Arial" w:eastAsia="Arial" w:hAnsi="Arial"/>
          <w:b/>
          <w:bCs/>
          <w:color w:val="2563EB"/>
          <w:sz w:val="26"/>
          <w:szCs w:val="26"/>
        </w:rPr>
        <w:t xml:space="preserve">6.3  Bias Monitoring</w:t>
      </w:r>
    </w:p>
    <w:p>
      <w:pPr>
        <w:pStyle w:val="ListParagraph"/>
        <w:numPr>
          <w:ilvl w:val="0"/>
          <w:numId w:val="2"/>
        </w:numPr>
        <w:spacing w:before="60" w:after="60"/>
      </w:pPr>
      <w:r>
        <w:rPr>
          <w:rFonts w:ascii="Arial" w:cs="Arial" w:eastAsia="Arial" w:hAnsi="Arial"/>
          <w:color w:val="4B5563"/>
          <w:sz w:val="22"/>
          <w:szCs w:val="22"/>
        </w:rPr>
        <w:t xml:space="preserve">Quarterly fairness audits across location and age subgroups</w:t>
      </w:r>
    </w:p>
    <w:p>
      <w:pPr>
        <w:pStyle w:val="ListParagraph"/>
        <w:numPr>
          <w:ilvl w:val="0"/>
          <w:numId w:val="2"/>
        </w:numPr>
        <w:spacing w:before="60" w:after="60"/>
      </w:pPr>
      <w:r>
        <w:rPr>
          <w:rFonts w:ascii="Arial" w:cs="Arial" w:eastAsia="Arial" w:hAnsi="Arial"/>
          <w:color w:val="4B5563"/>
          <w:sz w:val="22"/>
          <w:szCs w:val="22"/>
        </w:rPr>
        <w:t xml:space="preserve">class_weight='balanced' mitigates majority-class dominance</w:t>
      </w:r>
    </w:p>
    <w:p>
      <w:pPr>
        <w:pStyle w:val="ListParagraph"/>
        <w:numPr>
          <w:ilvl w:val="0"/>
          <w:numId w:val="2"/>
        </w:numPr>
        <w:spacing w:before="60" w:after="60"/>
      </w:pPr>
      <w:r>
        <w:rPr>
          <w:rFonts w:ascii="Arial" w:cs="Arial" w:eastAsia="Arial" w:hAnsi="Arial"/>
          <w:color w:val="4B5563"/>
          <w:sz w:val="22"/>
          <w:szCs w:val="22"/>
        </w:rPr>
        <w:t xml:space="preserve">Delivery type gap maintained at ≤ 9.9% ✅</w:t>
      </w:r>
    </w:p>
    <w:p>
      <w:pPr>
        <w:pStyle w:val="ListParagraph"/>
        <w:numPr>
          <w:ilvl w:val="0"/>
          <w:numId w:val="2"/>
        </w:numPr>
        <w:spacing w:before="60" w:after="60"/>
      </w:pPr>
      <w:r>
        <w:rPr>
          <w:rFonts w:ascii="Arial" w:cs="Arial" w:eastAsia="Arial" w:hAnsi="Arial"/>
          <w:color w:val="4B5563"/>
          <w:sz w:val="22"/>
          <w:szCs w:val="22"/>
        </w:rPr>
        <w:t xml:space="preserve">Location gap flagged for ongoing monitoring ⚠️</w:t>
      </w:r>
    </w:p>
    <w:p>
      <w:pPr>
        <w:spacing w:before="0" w:after="60"/>
      </w:pPr>
      <w:r>
        <w:t xml:space="preserve"/>
      </w:r>
    </w:p>
    <w:p>
      <w:pPr>
        <w:pStyle w:val="Heading2"/>
        <w:spacing w:before="240" w:after="120"/>
      </w:pPr>
      <w:r>
        <w:rPr>
          <w:rFonts w:ascii="Arial" w:cs="Arial" w:eastAsia="Arial" w:hAnsi="Arial"/>
          <w:b/>
          <w:bCs/>
          <w:color w:val="2563EB"/>
          <w:sz w:val="26"/>
          <w:szCs w:val="26"/>
        </w:rPr>
        <w:t xml:space="preserve">6.4  Compliance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BEB" w:val="clear"/>
            <w:tcMar>
              <w:top w:type="dxa" w:w="120"/>
              <w:left w:type="dxa" w:w="200"/>
              <w:bottom w:type="dxa" w:w="120"/>
              <w:right w:type="dxa" w:w="200"/>
            </w:tcMar>
          </w:tcPr>
          <w:p>
            <w:r>
              <w:rPr>
                <w:rFonts w:ascii="Arial" w:cs="Arial" w:eastAsia="Arial" w:hAnsi="Arial"/>
                <w:color w:val="D97706"/>
                <w:sz w:val="20"/>
                <w:szCs w:val="20"/>
              </w:rPr>
              <w:t xml:space="preserve">✅  Data privacy (de-identified training data)  |  ✅  Informed consent assumed within healthcare system  |  ✅  Fairness audits in place  |  ⚠️  IRB approval required before clinical deployment</w:t>
            </w:r>
          </w:p>
        </w:tc>
      </w:tr>
    </w:tbl>
    <w:p>
      <w:pPr>
        <w:spacing w:before="0" w:after="120"/>
      </w:pPr>
      <w:r>
        <w:t xml:space="preserve"/>
      </w:r>
    </w:p>
    <w:p>
      <w:pPr>
        <w:pStyle w:val="Heading1"/>
        <w:pBdr>
          <w:bottom w:val="single" w:color="2563EB" w:sz="6" w:space="4"/>
        </w:pBdr>
        <w:spacing w:before="320" w:after="160"/>
      </w:pPr>
      <w:r>
        <w:rPr>
          <w:rFonts w:ascii="Arial" w:cs="Arial" w:eastAsia="Arial" w:hAnsi="Arial"/>
          <w:b/>
          <w:bCs/>
          <w:color w:val="1E3A5F"/>
          <w:sz w:val="32"/>
          <w:szCs w:val="32"/>
        </w:rPr>
        <w:t xml:space="preserve">7.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b/>
                <w:bCs/>
                <w:color w:val="1E3A5F"/>
                <w:sz w:val="20"/>
                <w:szCs w:val="20"/>
              </w:rPr>
              <w:t xml:space="preserve">Language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B5563"/>
                <w:sz w:val="20"/>
                <w:szCs w:val="20"/>
              </w:rPr>
              <w:t xml:space="preserve">Python 3.13</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1E3A5F"/>
                <w:sz w:val="20"/>
                <w:szCs w:val="20"/>
              </w:rPr>
              <w:t xml:space="preserve">Framework</w:t>
            </w:r>
          </w:p>
        </w:tc>
        <w:tc>
          <w:tcPr>
            <w:tcW w:type="dxa" w:w="65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color w:val="4B5563"/>
                <w:sz w:val="20"/>
                <w:szCs w:val="20"/>
              </w:rPr>
              <w:t xml:space="preserve">Streamlit 1.54</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b/>
                <w:bCs/>
                <w:color w:val="1E3A5F"/>
                <w:sz w:val="20"/>
                <w:szCs w:val="20"/>
              </w:rPr>
              <w:t xml:space="preserve">ML Libraries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B5563"/>
                <w:sz w:val="20"/>
                <w:szCs w:val="20"/>
              </w:rPr>
              <w:t xml:space="preserve">scikit-learn 1.8, XGBoost (optional)</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1E3A5F"/>
                <w:sz w:val="20"/>
                <w:szCs w:val="20"/>
              </w:rPr>
              <w:t xml:space="preserve">Data</w:t>
            </w:r>
          </w:p>
        </w:tc>
        <w:tc>
          <w:tcPr>
            <w:tcW w:type="dxa" w:w="65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color w:val="4B5563"/>
                <w:sz w:val="20"/>
                <w:szCs w:val="20"/>
              </w:rPr>
              <w:t xml:space="preserve">pandas 2.3, NumPy 2.4</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b/>
                <w:bCs/>
                <w:color w:val="1E3A5F"/>
                <w:sz w:val="20"/>
                <w:szCs w:val="20"/>
              </w:rPr>
              <w:t xml:space="preserve">Visualisation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B5563"/>
                <w:sz w:val="20"/>
                <w:szCs w:val="20"/>
              </w:rPr>
              <w:t xml:space="preserve">matplotlib 3.10, seaborn 0.13</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1E3A5F"/>
                <w:sz w:val="20"/>
                <w:szCs w:val="20"/>
              </w:rPr>
              <w:t xml:space="preserve">Deployment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color w:val="4B5563"/>
                <w:sz w:val="20"/>
                <w:szCs w:val="20"/>
              </w:rPr>
              <w:t xml:space="preserve">Streamlit Community Cloud (GitHub integration)</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b/>
                <w:bCs/>
                <w:color w:val="1E3A5F"/>
                <w:sz w:val="20"/>
                <w:szCs w:val="20"/>
              </w:rPr>
              <w:t xml:space="preserve">Dependency Mgmt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B5563"/>
                <w:sz w:val="20"/>
                <w:szCs w:val="20"/>
              </w:rPr>
              <w:t xml:space="preserve">uv / requirements.txt</w:t>
            </w:r>
          </w:p>
        </w:tc>
      </w:tr>
    </w:tbl>
    <w:p>
      <w:pPr>
        <w:spacing w:before="0" w:after="120"/>
      </w:pPr>
      <w:r>
        <w:t xml:space="preserve"/>
      </w:r>
    </w:p>
    <w:p>
      <w:pPr>
        <w:pStyle w:val="Heading1"/>
        <w:pBdr>
          <w:bottom w:val="single" w:color="2563EB" w:sz="6" w:space="4"/>
        </w:pBdr>
        <w:spacing w:before="320" w:after="160"/>
      </w:pPr>
      <w:r>
        <w:rPr>
          <w:rFonts w:ascii="Arial" w:cs="Arial" w:eastAsia="Arial" w:hAnsi="Arial"/>
          <w:b/>
          <w:bCs/>
          <w:color w:val="1E3A5F"/>
          <w:sz w:val="32"/>
          <w:szCs w:val="32"/>
        </w:rPr>
        <w:t xml:space="preserve">8. Bug Fixes Applied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b/>
                <w:bCs/>
                <w:color w:val="1E3A5F"/>
                <w:sz w:val="20"/>
                <w:szCs w:val="20"/>
              </w:rPr>
              <w:t xml:space="preserve">Bug 1 (Critical)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B5563"/>
                <w:sz w:val="20"/>
                <w:szCs w:val="20"/>
              </w:rPr>
              <w:t xml:space="preserve">KeyError: 'LengthofStaydays' not in index — demo DataFrame used 'LOS' column name; renamed to 'LengthofStaydays' to match feature_cols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1E3A5F"/>
                <w:sz w:val="20"/>
                <w:szCs w:val="20"/>
              </w:rPr>
              <w:t xml:space="preserve">Bug 2</w:t>
            </w:r>
          </w:p>
        </w:tc>
        <w:tc>
          <w:tcPr>
            <w:tcW w:type="dxa" w:w="65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color w:val="4B5563"/>
                <w:sz w:val="20"/>
                <w:szCs w:val="20"/>
              </w:rPr>
              <w:t xml:space="preserve">Location column in demo data contained typo value 'Cesarean'; corrected to 'Urban'</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60"/>
              <w:bottom w:type="dxa" w:w="80"/>
              <w:right w:type="dxa" w:w="120"/>
            </w:tcMar>
          </w:tcPr>
          <w:p>
            <w:r>
              <w:rPr>
                <w:rFonts w:ascii="Arial" w:cs="Arial" w:eastAsia="Arial" w:hAnsi="Arial"/>
                <w:b/>
                <w:bCs/>
                <w:color w:val="1E3A5F"/>
                <w:sz w:val="20"/>
                <w:szCs w:val="20"/>
              </w:rPr>
              <w:t xml:space="preserve">Bug 3</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4B5563"/>
                <w:sz w:val="20"/>
                <w:szCs w:val="20"/>
              </w:rPr>
              <w:t xml:space="preserve">st.dataframe(width='stretch') raised TypeError; replaced with use_container_width=True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b/>
                <w:bCs/>
                <w:color w:val="1E3A5F"/>
                <w:sz w:val="20"/>
                <w:szCs w:val="20"/>
              </w:rPr>
              <w:t xml:space="preserve">Bug 4</w:t>
            </w:r>
          </w:p>
        </w:tc>
        <w:tc>
          <w:tcPr>
            <w:tcW w:type="dxa" w:w="65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r>
              <w:rPr>
                <w:rFonts w:ascii="Arial" w:cs="Arial" w:eastAsia="Arial" w:hAnsi="Arial"/>
                <w:color w:val="4B5563"/>
                <w:sz w:val="20"/>
                <w:szCs w:val="20"/>
              </w:rPr>
              <w:t xml:space="preserve">Broken emoji '?️ Feature Impact' in tab label; corrected to '📈 Feature Impact'</w:t>
            </w:r>
          </w:p>
        </w:tc>
      </w:tr>
    </w:tbl>
    <w:p>
      <w:pPr>
        <w:spacing w:before="0" w:after="120"/>
      </w:pPr>
      <w:r>
        <w:t xml:space="preserve"/>
      </w:r>
    </w:p>
    <w:p>
      <w:pPr>
        <w:pStyle w:val="Heading1"/>
        <w:pBdr>
          <w:bottom w:val="single" w:color="2563EB" w:sz="6" w:space="4"/>
        </w:pBdr>
        <w:spacing w:before="320" w:after="160"/>
      </w:pPr>
      <w:r>
        <w:rPr>
          <w:rFonts w:ascii="Arial" w:cs="Arial" w:eastAsia="Arial" w:hAnsi="Arial"/>
          <w:b/>
          <w:bCs/>
          <w:color w:val="1E3A5F"/>
          <w:sz w:val="32"/>
          <w:szCs w:val="32"/>
        </w:rPr>
        <w:t xml:space="preserve">9. Limitations &amp; Recommended Next Steps</w:t>
      </w:r>
    </w:p>
    <w:p>
      <w:pPr>
        <w:pStyle w:val="Heading2"/>
        <w:spacing w:before="240" w:after="120"/>
      </w:pPr>
      <w:r>
        <w:rPr>
          <w:rFonts w:ascii="Arial" w:cs="Arial" w:eastAsia="Arial" w:hAnsi="Arial"/>
          <w:b/>
          <w:bCs/>
          <w:color w:val="2563EB"/>
          <w:sz w:val="26"/>
          <w:szCs w:val="26"/>
        </w:rPr>
        <w:t xml:space="preserve">9.1  Current Limitations</w:t>
      </w:r>
    </w:p>
    <w:p>
      <w:pPr>
        <w:pStyle w:val="ListParagraph"/>
        <w:numPr>
          <w:ilvl w:val="0"/>
          <w:numId w:val="2"/>
        </w:numPr>
        <w:spacing w:before="60" w:after="60"/>
      </w:pPr>
      <w:r>
        <w:rPr>
          <w:rFonts w:ascii="Arial" w:cs="Arial" w:eastAsia="Arial" w:hAnsi="Arial"/>
          <w:color w:val="4B5563"/>
          <w:sz w:val="22"/>
          <w:szCs w:val="22"/>
        </w:rPr>
        <w:t xml:space="preserve">Model trained on demo/synthetic data in absence of maternity_data.csv; performance metrics may not reflect real-world accuracy</w:t>
      </w:r>
    </w:p>
    <w:p>
      <w:pPr>
        <w:pStyle w:val="ListParagraph"/>
        <w:numPr>
          <w:ilvl w:val="0"/>
          <w:numId w:val="2"/>
        </w:numPr>
        <w:spacing w:before="60" w:after="60"/>
      </w:pPr>
      <w:r>
        <w:rPr>
          <w:rFonts w:ascii="Arial" w:cs="Arial" w:eastAsia="Arial" w:hAnsi="Arial"/>
          <w:color w:val="4B5563"/>
          <w:sz w:val="22"/>
          <w:szCs w:val="22"/>
        </w:rPr>
        <w:t xml:space="preserve">Small training dataset (~463 patients after filtering) limits generalisation</w:t>
      </w:r>
    </w:p>
    <w:p>
      <w:pPr>
        <w:pStyle w:val="ListParagraph"/>
        <w:numPr>
          <w:ilvl w:val="0"/>
          <w:numId w:val="2"/>
        </w:numPr>
        <w:spacing w:before="60" w:after="60"/>
      </w:pPr>
      <w:r>
        <w:rPr>
          <w:rFonts w:ascii="Arial" w:cs="Arial" w:eastAsia="Arial" w:hAnsi="Arial"/>
          <w:color w:val="4B5563"/>
          <w:sz w:val="22"/>
          <w:szCs w:val="22"/>
        </w:rPr>
        <w:t xml:space="preserve">No SHAP explainability — individual predictions lack per-patient feature attribution</w:t>
      </w:r>
    </w:p>
    <w:p>
      <w:pPr>
        <w:pStyle w:val="ListParagraph"/>
        <w:numPr>
          <w:ilvl w:val="0"/>
          <w:numId w:val="2"/>
        </w:numPr>
        <w:spacing w:before="60" w:after="60"/>
      </w:pPr>
      <w:r>
        <w:rPr>
          <w:rFonts w:ascii="Arial" w:cs="Arial" w:eastAsia="Arial" w:hAnsi="Arial"/>
          <w:color w:val="4B5563"/>
          <w:sz w:val="22"/>
          <w:szCs w:val="22"/>
        </w:rPr>
        <w:t xml:space="preserve">No CSV upload functionality for batch predictions on new patient cohorts</w:t>
      </w:r>
    </w:p>
    <w:p>
      <w:pPr>
        <w:pStyle w:val="ListParagraph"/>
        <w:numPr>
          <w:ilvl w:val="0"/>
          <w:numId w:val="2"/>
        </w:numPr>
        <w:spacing w:before="60" w:after="60"/>
      </w:pPr>
      <w:r>
        <w:rPr>
          <w:rFonts w:ascii="Arial" w:cs="Arial" w:eastAsia="Arial" w:hAnsi="Arial"/>
          <w:color w:val="4B5563"/>
          <w:sz w:val="22"/>
          <w:szCs w:val="22"/>
        </w:rPr>
        <w:t xml:space="preserve">No persistent model versioning or audit trail</w:t>
      </w:r>
    </w:p>
    <w:p>
      <w:pPr>
        <w:spacing w:before="0" w:after="60"/>
      </w:pPr>
      <w:r>
        <w:t xml:space="preserve"/>
      </w:r>
    </w:p>
    <w:p>
      <w:pPr>
        <w:pStyle w:val="Heading2"/>
        <w:spacing w:before="240" w:after="120"/>
      </w:pPr>
      <w:r>
        <w:rPr>
          <w:rFonts w:ascii="Arial" w:cs="Arial" w:eastAsia="Arial" w:hAnsi="Arial"/>
          <w:b/>
          <w:bCs/>
          <w:color w:val="2563EB"/>
          <w:sz w:val="26"/>
          <w:szCs w:val="26"/>
        </w:rPr>
        <w:t xml:space="preserve">9.2  Recommended Improvements</w:t>
      </w:r>
    </w:p>
    <w:p>
      <w:pPr>
        <w:pStyle w:val="ListParagraph"/>
        <w:numPr>
          <w:ilvl w:val="0"/>
          <w:numId w:val="2"/>
        </w:numPr>
        <w:spacing w:before="60" w:after="60"/>
      </w:pPr>
      <w:r>
        <w:rPr>
          <w:rFonts w:ascii="Arial" w:cs="Arial" w:eastAsia="Arial" w:hAnsi="Arial"/>
          <w:color w:val="4B5563"/>
          <w:sz w:val="22"/>
          <w:szCs w:val="22"/>
        </w:rPr>
        <w:t xml:space="preserve">Integrate SHAP values for per-prediction explainability (patient-level transparency)</w:t>
      </w:r>
    </w:p>
    <w:p>
      <w:pPr>
        <w:pStyle w:val="ListParagraph"/>
        <w:numPr>
          <w:ilvl w:val="0"/>
          <w:numId w:val="2"/>
        </w:numPr>
        <w:spacing w:before="60" w:after="60"/>
      </w:pPr>
      <w:r>
        <w:rPr>
          <w:rFonts w:ascii="Arial" w:cs="Arial" w:eastAsia="Arial" w:hAnsi="Arial"/>
          <w:color w:val="4B5563"/>
          <w:sz w:val="22"/>
          <w:szCs w:val="22"/>
        </w:rPr>
        <w:t xml:space="preserve">Add CSV upload widget for batch risk assessment on new patient lists</w:t>
      </w:r>
    </w:p>
    <w:p>
      <w:pPr>
        <w:pStyle w:val="ListParagraph"/>
        <w:numPr>
          <w:ilvl w:val="0"/>
          <w:numId w:val="2"/>
        </w:numPr>
        <w:spacing w:before="60" w:after="60"/>
      </w:pPr>
      <w:r>
        <w:rPr>
          <w:rFonts w:ascii="Arial" w:cs="Arial" w:eastAsia="Arial" w:hAnsi="Arial"/>
          <w:color w:val="4B5563"/>
          <w:sz w:val="22"/>
          <w:szCs w:val="22"/>
        </w:rPr>
        <w:t xml:space="preserve">Expand training data and incorporate cross-hospital validation</w:t>
      </w:r>
    </w:p>
    <w:p>
      <w:pPr>
        <w:pStyle w:val="ListParagraph"/>
        <w:numPr>
          <w:ilvl w:val="0"/>
          <w:numId w:val="2"/>
        </w:numPr>
        <w:spacing w:before="60" w:after="60"/>
      </w:pPr>
      <w:r>
        <w:rPr>
          <w:rFonts w:ascii="Arial" w:cs="Arial" w:eastAsia="Arial" w:hAnsi="Arial"/>
          <w:color w:val="4B5563"/>
          <w:sz w:val="22"/>
          <w:szCs w:val="22"/>
        </w:rPr>
        <w:t xml:space="preserve">Implement ROC curve and precision-recall visualisations in the Model Performance tab</w:t>
      </w:r>
    </w:p>
    <w:p>
      <w:pPr>
        <w:pStyle w:val="ListParagraph"/>
        <w:numPr>
          <w:ilvl w:val="0"/>
          <w:numId w:val="2"/>
        </w:numPr>
        <w:spacing w:before="60" w:after="60"/>
      </w:pPr>
      <w:r>
        <w:rPr>
          <w:rFonts w:ascii="Arial" w:cs="Arial" w:eastAsia="Arial" w:hAnsi="Arial"/>
          <w:color w:val="4B5563"/>
          <w:sz w:val="22"/>
          <w:szCs w:val="22"/>
        </w:rPr>
        <w:t xml:space="preserve">Add model versioning and prediction logging for clinical audit compliance</w:t>
      </w:r>
    </w:p>
    <w:p>
      <w:pPr>
        <w:pStyle w:val="ListParagraph"/>
        <w:numPr>
          <w:ilvl w:val="0"/>
          <w:numId w:val="2"/>
        </w:numPr>
        <w:spacing w:before="60" w:after="60"/>
      </w:pPr>
      <w:r>
        <w:rPr>
          <w:rFonts w:ascii="Arial" w:cs="Arial" w:eastAsia="Arial" w:hAnsi="Arial"/>
          <w:color w:val="4B5563"/>
          <w:sz w:val="22"/>
          <w:szCs w:val="22"/>
        </w:rPr>
        <w:t xml:space="preserve">Obtain IRB approval and conduct prospective clinical validation before deployment</w:t>
      </w:r>
    </w:p>
    <w:p>
      <w:pPr>
        <w:spacing w:before="0" w:after="120"/>
      </w:pPr>
      <w:r>
        <w:t xml:space="preserve"/>
      </w:r>
    </w:p>
    <w:p>
      <w:pPr>
        <w:pStyle w:val="Heading1"/>
        <w:pBdr>
          <w:bottom w:val="single" w:color="2563EB" w:sz="6" w:space="4"/>
        </w:pBdr>
        <w:spacing w:before="320" w:after="160"/>
      </w:pPr>
      <w:r>
        <w:rPr>
          <w:rFonts w:ascii="Arial" w:cs="Arial" w:eastAsia="Arial" w:hAnsi="Arial"/>
          <w:b/>
          <w:bCs/>
          <w:color w:val="1E3A5F"/>
          <w:sz w:val="32"/>
          <w:szCs w:val="32"/>
        </w:rPr>
        <w:t xml:space="preserve">10.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2F2" w:val="clear"/>
            <w:tcMar>
              <w:top w:type="dxa" w:w="120"/>
              <w:left w:type="dxa" w:w="200"/>
              <w:bottom w:type="dxa" w:w="120"/>
              <w:right w:type="dxa" w:w="200"/>
            </w:tcMar>
          </w:tcPr>
          <w:p>
            <w:r>
              <w:rPr>
                <w:rFonts w:ascii="Arial" w:cs="Arial" w:eastAsia="Arial" w:hAnsi="Arial"/>
                <w:color w:val="DC2626"/>
                <w:sz w:val="20"/>
                <w:szCs w:val="20"/>
              </w:rPr>
              <w:t xml:space="preserve">⚠️  This tool is designed for clinical decision support only. It must not replace clinical judgment. All patient care decisions must be made by qualified medical professionals. For clinical deployment, IRB approval and institutional validation are mandatory.</w:t>
            </w:r>
          </w:p>
        </w:tc>
      </w:tr>
    </w:tbl>
    <w:p>
      <w:pPr>
        <w:spacing w:before="0" w:after="120"/>
      </w:pPr>
      <w:r>
        <w:t xml:space="preserve"/>
      </w:r>
    </w:p>
    <w:p>
      <w:pPr>
        <w:spacing w:before="240"/>
        <w:jc w:val="center"/>
      </w:pPr>
      <w:r>
        <w:rPr>
          <w:rFonts w:ascii="Arial" w:cs="Arial" w:eastAsia="Arial" w:hAnsi="Arial"/>
          <w:i/>
          <w:iCs/>
          <w:color w:val="9CA3AF"/>
          <w:sz w:val="18"/>
          <w:szCs w:val="18"/>
        </w:rPr>
        <w:t xml:space="preserve">Maternity Readmission Risk Predictor  •  Developed with focus on fairness, transparency, and clinical validity</w:t>
      </w:r>
    </w:p>
    <w:sectPr>
      <w:footerReference w:type="default" r:id="rId6"/>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80"/>
      <w:jc w:val="center"/>
    </w:pPr>
    <w:r>
      <w:rPr>
        <w:rFonts w:ascii="Arial" w:cs="Arial" w:eastAsia="Arial" w:hAnsi="Arial"/>
        <w:color w:val="9CA3AF"/>
        <w:sz w:val="18"/>
        <w:szCs w:val="18"/>
      </w:rPr>
      <w:t xml:space="preserve">Maternity Readmission Risk Predictor  •  Project Summary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2026-02-26T19:32:57.973Z</dcterms:created>
  <dcterms:modified xsi:type="dcterms:W3CDTF">2026-02-26T19:32:57.974Z</dcterms:modified>
</cp:coreProperties>
</file>

<file path=docProps/custom.xml><?xml version="1.0" encoding="utf-8"?>
<Properties xmlns="http://schemas.openxmlformats.org/officeDocument/2006/custom-properties" xmlns:vt="http://schemas.openxmlformats.org/officeDocument/2006/docPropsVTypes"/>
</file>